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378"/>
        <w:ind w:firstLine="0"/>
        <w:jc w:val="center"/>
        <w:rPr>
          <w:rFonts w:hint="eastAsia" w:eastAsia="黑体"/>
          <w:b/>
          <w:bCs/>
          <w:color w:val="000000"/>
          <w:sz w:val="84"/>
          <w:highlight w:val="none"/>
        </w:rPr>
      </w:pPr>
      <w:r>
        <w:rPr>
          <w:rFonts w:hint="eastAsia" w:eastAsia="黑体"/>
          <w:b/>
          <w:bCs/>
          <w:color w:val="000000"/>
          <w:sz w:val="84"/>
          <w:highlight w:val="none"/>
        </w:rPr>
        <w:t xml:space="preserve">竞争性磋商文件</w:t>
      </w:r>
      <w:r/>
    </w:p>
    <w:p>
      <w:pPr>
        <w:ind w:firstLine="1606"/>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rPr>
          <w:rFonts w:hint="eastAsia" w:ascii="Arial" w:hAnsi="Arial"/>
          <w:b/>
          <w:bCs/>
          <w:color w:val="000000"/>
          <w:sz w:val="32"/>
          <w:szCs w:val="24"/>
          <w:highlight w:val="none"/>
          <w:u w:val="single"/>
        </w:rPr>
      </w:pPr>
      <w:r>
        <w:rPr>
          <w:rFonts w:hint="eastAsia" w:ascii="Arial" w:hAnsi="Arial"/>
          <w:b/>
          <w:bCs/>
          <w:color w:val="000000"/>
          <w:sz w:val="32"/>
          <w:szCs w:val="24"/>
          <w:highlight w:val="none"/>
        </w:rPr>
        <w:t xml:space="preserve">项目名称：</w:t>
      </w:r>
      <w:r>
        <w:rPr>
          <w:rFonts w:hint="eastAsia"/>
          <w:b/>
          <w:color w:val="000000"/>
          <w:sz w:val="32"/>
          <w:szCs w:val="32"/>
          <w:highlight w:val="none"/>
          <w:lang w:eastAsia="zh-CN"/>
        </w:rPr>
        <w:t xml:space="preserve">2026年竹镇镇农村道路市场化养护项目</w:t>
      </w:r>
      <w:r>
        <w:rPr>
          <w:rFonts w:hint="eastAsia" w:ascii="Times New Roman" w:hAnsi="Times New Roman"/>
          <w:b/>
          <w:color w:val="000000"/>
          <w:sz w:val="32"/>
          <w:szCs w:val="32"/>
          <w:highlight w:val="none"/>
        </w:rPr>
        <w:t xml:space="preserve"> </w:t>
      </w:r>
      <w:r/>
    </w:p>
    <w:p>
      <w:pPr>
        <w:ind w:firstLine="1606"/>
        <w:jc w:val="left"/>
        <w:spacing w:before="120" w:after="120" w:line="360" w:lineRule="auto"/>
        <w:rPr>
          <w:rFonts w:hint="eastAsia" w:eastAsia="宋体"/>
          <w:color w:val="000000"/>
          <w:highlight w:val="none"/>
          <w:lang w:eastAsia="zh-CN"/>
        </w:rPr>
      </w:pPr>
      <w:r>
        <w:rPr>
          <w:rFonts w:hint="eastAsia" w:ascii="Arial" w:hAnsi="Arial"/>
          <w:b/>
          <w:bCs/>
          <w:color w:val="000000"/>
          <w:sz w:val="32"/>
          <w:szCs w:val="24"/>
          <w:highlight w:val="none"/>
        </w:rPr>
        <w:t xml:space="preserve">项目编号：</w:t>
      </w:r>
      <w:r>
        <w:rPr>
          <w:rFonts w:hint="eastAsia" w:cs="Times New Roman"/>
          <w:b/>
          <w:color w:val="000000"/>
          <w:sz w:val="32"/>
          <w:szCs w:val="32"/>
          <w:highlight w:val="none"/>
          <w:lang w:eastAsia="zh-CN"/>
        </w:rPr>
        <w:t xml:space="preserve">JSZC-320116-NJLC-C2025-0017</w:t>
      </w:r>
      <w:r/>
    </w:p>
    <w:p>
      <w:pPr>
        <w:jc w:val="center"/>
        <w:rPr>
          <w:rFonts w:hint="eastAsia" w:ascii="Times New Roman" w:hAnsi="Times New Roman"/>
          <w:b/>
          <w:color w:val="000000"/>
          <w:sz w:val="30"/>
          <w:szCs w:val="30"/>
          <w:highlight w:val="none"/>
        </w:rPr>
      </w:pPr>
      <w:r>
        <w:rPr>
          <w:rFonts w:hint="eastAsia" w:ascii="Times New Roman" w:hAnsi="Times New Roman"/>
          <w:b/>
          <w:color w:val="000000"/>
          <w:sz w:val="30"/>
          <w:szCs w:val="30"/>
          <w:highlight w:val="none"/>
        </w:rPr>
        <w:t xml:space="preserve">（</w:t>
      </w:r>
      <w:r>
        <w:rPr>
          <w:rFonts w:hint="eastAsia" w:ascii="宋体" w:hAnsi="宋体" w:cs="宋体"/>
          <w:b/>
          <w:bCs/>
          <w:color w:val="000000"/>
          <w:sz w:val="30"/>
          <w:szCs w:val="30"/>
          <w:highlight w:val="none"/>
        </w:rPr>
        <w:t xml:space="preserve">专门</w:t>
      </w:r>
      <w:r>
        <w:rPr>
          <w:rFonts w:hint="eastAsia" w:ascii="Times New Roman" w:hAnsi="Times New Roman"/>
          <w:b/>
          <w:color w:val="000000"/>
          <w:sz w:val="30"/>
          <w:szCs w:val="30"/>
          <w:highlight w:val="none"/>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78"/>
        <w:ind w:firstLine="0"/>
        <w:jc w:val="center"/>
        <w:rPr>
          <w:rFonts w:hint="eastAsia" w:eastAsia="宋体"/>
          <w:b/>
          <w:bCs/>
          <w:color w:val="000000"/>
          <w:sz w:val="32"/>
          <w:highlight w:val="none"/>
          <w:lang w:eastAsia="zh-CN"/>
        </w:rPr>
      </w:pPr>
      <w:r>
        <w:rPr>
          <w:rFonts w:hint="eastAsia"/>
          <w:b/>
          <w:bCs/>
          <w:color w:val="000000"/>
          <w:sz w:val="32"/>
          <w:highlight w:val="none"/>
        </w:rPr>
        <w:t xml:space="preserve">采购代理机构：</w:t>
      </w:r>
      <w:r>
        <w:rPr>
          <w:rFonts w:hint="eastAsia"/>
          <w:b/>
          <w:bCs/>
          <w:color w:val="000000"/>
          <w:sz w:val="32"/>
          <w:highlight w:val="none"/>
          <w:lang w:eastAsia="zh-CN"/>
        </w:rPr>
        <w:t xml:space="preserve">南京龙成工程咨询有限公司</w:t>
      </w:r>
      <w:r/>
    </w:p>
    <w:p>
      <w:pPr>
        <w:pStyle w:val="1378"/>
        <w:ind w:firstLine="0"/>
        <w:jc w:val="center"/>
        <w:rPr>
          <w:rFonts w:hint="eastAsia"/>
          <w:b/>
          <w:bCs/>
          <w:color w:val="000000"/>
          <w:sz w:val="32"/>
          <w:highlight w:val="none"/>
        </w:rPr>
      </w:pPr>
      <w:r>
        <w:rPr>
          <w:rFonts w:hint="eastAsia"/>
          <w:b/>
          <w:bCs/>
          <w:color w:val="000000"/>
          <w:sz w:val="32"/>
          <w:highlight w:val="none"/>
        </w:rPr>
      </w:r>
      <w:r/>
    </w:p>
    <w:p>
      <w:pPr>
        <w:pStyle w:val="1378"/>
        <w:ind w:firstLine="0"/>
        <w:jc w:val="center"/>
        <w:rPr>
          <w:rFonts w:hint="eastAsia" w:eastAsia="宋体"/>
          <w:b/>
          <w:bCs/>
          <w:color w:val="000000"/>
          <w:sz w:val="32"/>
          <w:highlight w:val="none"/>
          <w:lang w:eastAsia="zh-CN"/>
        </w:rPr>
      </w:pPr>
      <w:r>
        <w:rPr>
          <w:rFonts w:hint="eastAsia"/>
          <w:b/>
          <w:bCs/>
          <w:color w:val="000000"/>
          <w:sz w:val="32"/>
          <w:highlight w:val="none"/>
        </w:rPr>
        <w:t xml:space="preserve">采购人：</w:t>
      </w:r>
      <w:r>
        <w:rPr>
          <w:rFonts w:hint="eastAsia"/>
          <w:b/>
          <w:bCs/>
          <w:color w:val="000000"/>
          <w:sz w:val="32"/>
          <w:highlight w:val="none"/>
          <w:lang w:eastAsia="zh-CN"/>
        </w:rPr>
        <w:t xml:space="preserve">南京市六合区竹镇镇人民政府</w:t>
      </w:r>
      <w:r/>
    </w:p>
    <w:p>
      <w:pPr>
        <w:jc w:val="center"/>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202</w:t>
      </w:r>
      <w:r>
        <w:rPr>
          <w:rFonts w:hint="eastAsia"/>
          <w:b/>
          <w:color w:val="000000"/>
          <w:sz w:val="32"/>
          <w:szCs w:val="32"/>
          <w:highlight w:val="none"/>
          <w:lang w:val="en-US" w:eastAsia="zh-CN"/>
        </w:rPr>
        <w:t xml:space="preserve">5</w:t>
      </w:r>
      <w:r>
        <w:rPr>
          <w:rFonts w:hint="eastAsia" w:ascii="Times New Roman" w:hAnsi="Times New Roman"/>
          <w:b/>
          <w:color w:val="000000"/>
          <w:sz w:val="32"/>
          <w:szCs w:val="32"/>
          <w:highlight w:val="none"/>
        </w:rPr>
        <w:t xml:space="preserve">年12月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spacing w:line="480" w:lineRule="exact"/>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r>
      <w:r/>
    </w:p>
    <w:p>
      <w:pPr>
        <w:jc w:val="center"/>
        <w:spacing w:line="480" w:lineRule="auto"/>
        <w:rPr>
          <w:rFonts w:hint="eastAsia" w:ascii="黑体" w:hAnsi="Arial" w:eastAsia="黑体"/>
          <w:b/>
          <w:color w:val="000000"/>
          <w:sz w:val="40"/>
          <w:szCs w:val="20"/>
          <w:highlight w:val="none"/>
        </w:rPr>
        <w:outlineLvl w:val="0"/>
      </w:pPr>
      <w:r>
        <w:rPr>
          <w:rFonts w:ascii="Times New Roman" w:hAnsi="Times New Roman"/>
          <w:color w:val="000000"/>
          <w:szCs w:val="21"/>
          <w:highlight w:val="none"/>
        </w:rPr>
        <w:br w:type="page" w:clear="all"/>
      </w:r>
      <w:r>
        <w:rPr>
          <w:rFonts w:hint="eastAsia" w:ascii="黑体" w:hAnsi="Arial" w:eastAsia="黑体"/>
          <w:b/>
          <w:color w:val="000000"/>
          <w:sz w:val="40"/>
          <w:szCs w:val="20"/>
          <w:highlight w:val="none"/>
        </w:rPr>
        <w:t xml:space="preserve">总  目  录</w:t>
      </w:r>
      <w:r/>
    </w:p>
    <w:p>
      <w:pPr>
        <w:spacing w:line="480" w:lineRule="auto"/>
        <w:rPr>
          <w:rFonts w:hint="eastAsia" w:ascii="仿宋_GB2312" w:hAnsi="Arial" w:eastAsia="仿宋_GB2312"/>
          <w:b/>
          <w:color w:val="000000"/>
          <w:sz w:val="24"/>
          <w:szCs w:val="20"/>
          <w:highlight w:val="none"/>
        </w:rPr>
      </w:pPr>
      <w:r/>
      <w:bookmarkStart w:id="0" w:name="_Toc523127445"/>
      <w:r/>
      <w:bookmarkStart w:id="1" w:name="_Toc120614210"/>
      <w:r/>
      <w:bookmarkStart w:id="2" w:name="_Toc20823272"/>
      <w:r/>
      <w:bookmarkStart w:id="3" w:name="_Toc479757206"/>
      <w:r/>
      <w:bookmarkStart w:id="4" w:name="_Toc16938516"/>
      <w:r/>
      <w:bookmarkStart w:id="5" w:name="_Toc513029200"/>
      <w:r/>
      <w:r/>
    </w:p>
    <w:p>
      <w:pPr>
        <w:numPr>
          <w:ilvl w:val="0"/>
          <w:numId w:val="4"/>
        </w:numPr>
        <w:ind w:left="3120"/>
        <w:jc w:val="left"/>
        <w:spacing w:line="960" w:lineRule="auto"/>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磋商邀请</w:t>
      </w:r>
      <w:r/>
    </w:p>
    <w:p>
      <w:pPr>
        <w:numPr>
          <w:ilvl w:val="0"/>
          <w:numId w:val="4"/>
        </w:numPr>
        <w:ind w:left="3120"/>
        <w:jc w:val="left"/>
        <w:spacing w:line="960" w:lineRule="auto"/>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供应商须知</w:t>
      </w:r>
      <w:r/>
    </w:p>
    <w:p>
      <w:pPr>
        <w:numPr>
          <w:ilvl w:val="0"/>
          <w:numId w:val="4"/>
        </w:numPr>
        <w:ind w:left="3120"/>
        <w:jc w:val="left"/>
        <w:spacing w:line="960" w:lineRule="auto"/>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合同文本</w:t>
      </w:r>
      <w:r/>
    </w:p>
    <w:p>
      <w:pPr>
        <w:numPr>
          <w:ilvl w:val="0"/>
          <w:numId w:val="4"/>
        </w:numPr>
        <w:ind w:left="3120"/>
        <w:jc w:val="left"/>
        <w:spacing w:line="960" w:lineRule="auto"/>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采购需求</w:t>
      </w:r>
      <w:r/>
    </w:p>
    <w:p>
      <w:pPr>
        <w:numPr>
          <w:ilvl w:val="0"/>
          <w:numId w:val="4"/>
        </w:numPr>
        <w:ind w:left="3120"/>
        <w:jc w:val="left"/>
        <w:spacing w:line="960" w:lineRule="auto"/>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评审方法与评审标准</w:t>
      </w:r>
      <w:bookmarkStart w:id="140" w:name="_GoBack"/>
      <w:r/>
      <w:bookmarkEnd w:id="140"/>
      <w:r/>
      <w:r/>
    </w:p>
    <w:p>
      <w:pPr>
        <w:numPr>
          <w:ilvl w:val="0"/>
          <w:numId w:val="4"/>
        </w:numPr>
        <w:ind w:left="3120"/>
        <w:jc w:val="left"/>
        <w:spacing w:line="960" w:lineRule="auto"/>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响应文件格式</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第一章  磋商邀请</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项目概况</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2026年竹镇镇农村道路市场化养护项目</w:t>
      </w:r>
      <w:r>
        <w:rPr>
          <w:rFonts w:hint="eastAsia" w:ascii="宋体" w:hAnsi="宋体"/>
          <w:color w:val="000000"/>
          <w:sz w:val="24"/>
          <w:szCs w:val="24"/>
          <w:highlight w:val="none"/>
          <w:lang w:val="en-US" w:eastAsia="zh-CN"/>
        </w:rPr>
        <w:t xml:space="preserve"> JSZC-320116-NJLC-C2025-0017 </w:t>
      </w:r>
      <w:r>
        <w:rPr>
          <w:rFonts w:hint="eastAsia" w:ascii="宋体" w:hAnsi="宋体"/>
          <w:color w:val="000000"/>
          <w:sz w:val="24"/>
          <w:szCs w:val="24"/>
          <w:highlight w:val="none"/>
        </w:rPr>
        <w:t xml:space="preserve">采购项目的潜在供应商应在“江苏政府采购网、南京公共采购信息网”获取采购文件，并于202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30</w:t>
      </w:r>
      <w:r>
        <w:rPr>
          <w:rFonts w:hint="eastAsia" w:ascii="宋体" w:hAnsi="宋体"/>
          <w:color w:val="000000"/>
          <w:sz w:val="24"/>
          <w:szCs w:val="24"/>
          <w:highlight w:val="none"/>
          <w:u w:val="none"/>
        </w:rPr>
        <w:t xml:space="preserve"> </w:t>
      </w:r>
      <w:r>
        <w:rPr>
          <w:rFonts w:hint="eastAsia" w:ascii="宋体" w:hAnsi="宋体"/>
          <w:color w:val="000000"/>
          <w:sz w:val="24"/>
          <w:szCs w:val="24"/>
          <w:highlight w:val="none"/>
          <w:u w:val="none"/>
          <w:lang w:val="en-US" w:eastAsia="zh-CN"/>
        </w:rPr>
        <w:t xml:space="preserve"> </w:t>
      </w:r>
      <w:r>
        <w:rPr>
          <w:rFonts w:hint="eastAsia" w:ascii="宋体" w:hAnsi="宋体"/>
          <w:color w:val="000000"/>
          <w:sz w:val="24"/>
          <w:szCs w:val="24"/>
          <w:highlight w:val="none"/>
        </w:rPr>
        <w:t xml:space="preserve">09:00（北京时间）前提交响应文件。</w:t>
      </w:r>
      <w:r/>
    </w:p>
    <w:p>
      <w:pPr>
        <w:pStyle w:val="1259"/>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p>
    <w:p>
      <w:pPr>
        <w:ind w:firstLine="480"/>
        <w:spacing w:line="264"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JSZC-320116-NJLC-C2025-0017</w:t>
      </w:r>
      <w:r/>
    </w:p>
    <w:p>
      <w:pPr>
        <w:ind w:firstLine="480"/>
        <w:spacing w:line="264"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2026年竹镇镇农村道路市场化养护项目</w:t>
      </w:r>
      <w:r/>
    </w:p>
    <w:p>
      <w:pPr>
        <w:ind w:firstLine="480"/>
        <w:spacing w:line="264"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rPr>
        <w:t xml:space="preserve">：250万元 </w:t>
      </w:r>
      <w:r/>
    </w:p>
    <w:p>
      <w:pPr>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4.最高限价：244.459746</w:t>
      </w:r>
      <w:r>
        <w:rPr>
          <w:rFonts w:hint="eastAsia" w:ascii="宋体" w:hAnsi="宋体" w:eastAsia="宋体" w:cs="Times New Roman"/>
          <w:color w:val="000000"/>
          <w:sz w:val="24"/>
          <w:szCs w:val="24"/>
          <w:highlight w:val="none"/>
        </w:rPr>
        <w:t xml:space="preserve">万元。</w:t>
      </w:r>
      <w:r/>
    </w:p>
    <w:p>
      <w:pPr>
        <w:ind w:firstLine="480"/>
        <w:spacing w:line="264"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竹镇镇镇域范围内所有农村道路（包括村道61.16公里、乡道167.4公里）的道路日常巡查、日常养护和局部小修保养，及23座桥梁的日常巡查、日常养护和局部小修保养；包括但不限于路面保洁、绿化修剪、路肩及边坡维护、边沟清理、桥涵及沿线设施的维护等工作。</w:t>
      </w:r>
      <w:r>
        <w:rPr>
          <w:rFonts w:hint="eastAsia" w:ascii="宋体" w:hAnsi="宋体" w:cs="宋体"/>
          <w:color w:val="000000"/>
          <w:sz w:val="24"/>
          <w:szCs w:val="24"/>
          <w:highlight w:val="none"/>
        </w:rPr>
        <w:t xml:space="preserve"> </w:t>
      </w:r>
      <w:r/>
    </w:p>
    <w:p>
      <w:pPr>
        <w:ind w:firstLine="480"/>
        <w:spacing w:line="264"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6.合同履行期限：一年</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本项目不接受联合体参加磋商。</w:t>
      </w:r>
      <w:r/>
    </w:p>
    <w:p>
      <w:pPr>
        <w:pStyle w:val="1259"/>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spacing w:line="264"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1.满足《中华人民共和国政府采购法》第二十二条规定，并提供下列材料：供应商信用承诺函。</w:t>
      </w:r>
      <w:r/>
    </w:p>
    <w:p>
      <w:pPr>
        <w:ind w:firstLine="480"/>
        <w:spacing w:line="264"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2.落实政府采购政策需满足的资格要求：本项目为</w:t>
      </w:r>
      <w:r>
        <w:rPr>
          <w:rFonts w:hint="eastAsia" w:ascii="宋体" w:hAnsi="宋体"/>
          <w:color w:val="000000"/>
          <w:sz w:val="24"/>
          <w:szCs w:val="24"/>
          <w:highlight w:val="none"/>
          <w:lang w:val="en-US" w:eastAsia="zh-CN"/>
        </w:rPr>
        <w:t xml:space="preserve">专门面向中小企业采购</w:t>
      </w:r>
      <w:r>
        <w:rPr>
          <w:rFonts w:hint="eastAsia" w:ascii="宋体" w:hAnsi="宋体"/>
          <w:color w:val="000000"/>
          <w:sz w:val="24"/>
          <w:szCs w:val="24"/>
          <w:highlight w:val="none"/>
          <w:lang w:val="zh-CN"/>
        </w:rPr>
        <w:t xml:space="preserve">。</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其他未列明行业。</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rPr>
        <w:t xml:space="preserve">具有公路工程施工总承包三级及以上资质</w:t>
      </w:r>
      <w:r>
        <w:rPr>
          <w:rFonts w:hint="eastAsia" w:ascii="宋体" w:hAnsi="宋体"/>
          <w:color w:val="000000"/>
          <w:sz w:val="24"/>
          <w:szCs w:val="24"/>
          <w:highlight w:val="none"/>
          <w:lang w:val="en-US" w:eastAsia="zh-CN"/>
        </w:rPr>
        <w:t xml:space="preserve">及</w:t>
      </w:r>
      <w:r>
        <w:rPr>
          <w:rFonts w:hint="eastAsia" w:ascii="宋体" w:hAnsi="宋体"/>
          <w:color w:val="000000"/>
          <w:sz w:val="24"/>
          <w:szCs w:val="24"/>
          <w:highlight w:val="none"/>
        </w:rPr>
        <w:t xml:space="preserve">安全生产许可证；</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经理具有注册建造师公路工程二级（含）以上，且具有省级及以上交通运输主管部门核发的《公路水运工程施工企业项目负责人和安全生产管理人员安全生产考核合格证书》（B证）或具有省级及以上建筑主管部门核发的《建筑施工企业项目负责人和安全生产管理人员安全生产考核合格证书》（B证）（提供证书复印件和近6个月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月-1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月内任意1个月的社保证明材料，须加盖社保机构公章或社保中心参保缴费证明电子专用章（具有可验证的二维码或验证码））。</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1259"/>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1.时间：自磋商文件公告发布之日起。</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2.方式：在“江苏政府采购网、南京公共采购信息网”免费下载。</w:t>
      </w:r>
      <w:r/>
    </w:p>
    <w:p>
      <w:pPr>
        <w:pStyle w:val="1259"/>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p>
    <w:p>
      <w:pPr>
        <w:pStyle w:val="1259"/>
        <w:ind w:firstLine="372"/>
        <w:spacing w:before="145" w:after="145" w:line="264" w:lineRule="auto"/>
        <w:rPr>
          <w:rFonts w:hint="eastAsia" w:ascii="宋体" w:hAnsi="宋体"/>
          <w:b w:val="0"/>
          <w:bCs w:val="0"/>
          <w:color w:val="000000"/>
          <w:sz w:val="24"/>
          <w:szCs w:val="24"/>
          <w:highlight w:val="none"/>
        </w:rPr>
      </w:pPr>
      <w:r>
        <w:rPr>
          <w:rFonts w:hint="eastAsia" w:ascii="宋体" w:hAnsi="宋体" w:cs="宋体"/>
          <w:b w:val="0"/>
          <w:bCs w:val="0"/>
          <w:color w:val="000000"/>
          <w:sz w:val="24"/>
          <w:szCs w:val="24"/>
          <w:highlight w:val="none"/>
        </w:rPr>
        <w:t xml:space="preserve"> 202</w:t>
      </w:r>
      <w:r>
        <w:rPr>
          <w:rFonts w:hint="eastAsia" w:ascii="宋体" w:hAnsi="宋体" w:cs="宋体"/>
          <w:b w:val="0"/>
          <w:bCs w:val="0"/>
          <w:color w:val="000000"/>
          <w:sz w:val="24"/>
          <w:szCs w:val="24"/>
          <w:highlight w:val="none"/>
          <w:lang w:val="en-US" w:eastAsia="zh-CN"/>
        </w:rPr>
        <w:t xml:space="preserve">5</w:t>
      </w:r>
      <w:r>
        <w:rPr>
          <w:rFonts w:hint="eastAsia" w:ascii="宋体" w:hAnsi="宋体"/>
          <w:b w:val="0"/>
          <w:bCs w:val="0"/>
          <w:color w:val="000000"/>
          <w:sz w:val="24"/>
          <w:szCs w:val="24"/>
          <w:highlight w:val="none"/>
        </w:rPr>
        <w:t xml:space="preserve">年</w:t>
      </w:r>
      <w:r>
        <w:rPr>
          <w:rFonts w:hint="eastAsia" w:ascii="宋体" w:hAnsi="宋体"/>
          <w:b w:val="0"/>
          <w:bCs w:val="0"/>
          <w:color w:val="000000"/>
          <w:sz w:val="24"/>
          <w:szCs w:val="24"/>
          <w:highlight w:val="none"/>
          <w:lang w:val="en-US" w:eastAsia="zh-CN"/>
        </w:rPr>
        <w:t xml:space="preserve">12</w:t>
      </w:r>
      <w:r>
        <w:rPr>
          <w:rFonts w:hint="eastAsia" w:ascii="宋体" w:hAnsi="宋体"/>
          <w:b w:val="0"/>
          <w:bCs w:val="0"/>
          <w:color w:val="000000"/>
          <w:sz w:val="24"/>
          <w:szCs w:val="24"/>
          <w:highlight w:val="none"/>
        </w:rPr>
        <w:t xml:space="preserve">月</w:t>
      </w:r>
      <w:r>
        <w:rPr>
          <w:rFonts w:hint="eastAsia" w:ascii="宋体" w:hAnsi="宋体"/>
          <w:b w:val="0"/>
          <w:bCs w:val="0"/>
          <w:color w:val="000000"/>
          <w:sz w:val="24"/>
          <w:szCs w:val="24"/>
          <w:highlight w:val="none"/>
          <w:lang w:val="en-US" w:eastAsia="zh-CN"/>
        </w:rPr>
        <w:t xml:space="preserve">30</w:t>
      </w:r>
      <w:r>
        <w:rPr>
          <w:rFonts w:hint="eastAsia" w:ascii="宋体" w:hAnsi="宋体"/>
          <w:b w:val="0"/>
          <w:bCs w:val="0"/>
          <w:color w:val="000000"/>
          <w:sz w:val="24"/>
          <w:szCs w:val="24"/>
          <w:highlight w:val="none"/>
        </w:rPr>
        <w:t xml:space="preserve">日</w:t>
      </w:r>
      <w:r>
        <w:rPr>
          <w:rFonts w:hint="eastAsia" w:ascii="宋体" w:hAnsi="宋体" w:cs="宋体"/>
          <w:b w:val="0"/>
          <w:bCs w:val="0"/>
          <w:color w:val="000000"/>
          <w:sz w:val="24"/>
          <w:szCs w:val="24"/>
          <w:highlight w:val="none"/>
          <w:lang w:val="en-US" w:eastAsia="zh-CN"/>
        </w:rPr>
        <w:t xml:space="preserve">09</w:t>
      </w:r>
      <w:r>
        <w:rPr>
          <w:rFonts w:hint="eastAsia"/>
          <w:b w:val="0"/>
          <w:bCs w:val="0"/>
          <w:color w:val="000000"/>
          <w:sz w:val="24"/>
          <w:szCs w:val="24"/>
          <w:highlight w:val="none"/>
        </w:rPr>
        <w:t xml:space="preserve">时</w:t>
      </w:r>
      <w:r>
        <w:rPr>
          <w:rFonts w:hint="eastAsia" w:ascii="宋体" w:hAnsi="宋体" w:cs="宋体"/>
          <w:b w:val="0"/>
          <w:bCs w:val="0"/>
          <w:color w:val="000000"/>
          <w:sz w:val="24"/>
          <w:szCs w:val="24"/>
          <w:highlight w:val="none"/>
          <w:lang w:val="en-US" w:eastAsia="zh-CN"/>
        </w:rPr>
        <w:t xml:space="preserve">00</w:t>
      </w:r>
      <w:r>
        <w:rPr>
          <w:rFonts w:hint="eastAsia" w:ascii="宋体" w:hAnsi="宋体"/>
          <w:b w:val="0"/>
          <w:bCs w:val="0"/>
          <w:color w:val="000000"/>
          <w:sz w:val="24"/>
          <w:szCs w:val="24"/>
          <w:highlight w:val="none"/>
        </w:rPr>
        <w:t xml:space="preserve">分（北京时间）。</w:t>
      </w:r>
      <w:r/>
    </w:p>
    <w:p>
      <w:pPr>
        <w:pStyle w:val="1259"/>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个工作日。</w:t>
      </w:r>
      <w:r/>
    </w:p>
    <w:p>
      <w:pPr>
        <w:pStyle w:val="1259"/>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1.本次磋商不收取磋商保证金。</w:t>
      </w:r>
      <w:r/>
    </w:p>
    <w:p>
      <w:pPr>
        <w:ind w:firstLine="480"/>
        <w:spacing w:line="264"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本项目不组织集中</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1330"/>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4.有关本次采购的事项若存在变动或修改，请及时关注“江苏政府采购网”（www.ccgp-jiangsu.gov.cn）更正公告。</w:t>
      </w:r>
      <w:r/>
    </w:p>
    <w:p>
      <w:pPr>
        <w:pStyle w:val="1259"/>
        <w:ind w:firstLine="465"/>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1.采购人信息</w:t>
      </w:r>
      <w:r/>
    </w:p>
    <w:p>
      <w:pPr>
        <w:ind w:firstLine="480"/>
        <w:spacing w:line="264" w:lineRule="auto"/>
        <w:rPr>
          <w:rFonts w:hint="eastAsia" w:ascii="宋体" w:hAnsi="宋体"/>
          <w:color w:val="000000"/>
          <w:sz w:val="24"/>
          <w:szCs w:val="24"/>
          <w:highlight w:val="none"/>
        </w:rPr>
      </w:pPr>
      <w:r>
        <w:rPr>
          <w:rFonts w:ascii="Arial" w:hAnsi="Arial" w:eastAsia="Arial" w:cs="Arial"/>
          <w:color w:val="000000"/>
          <w:sz w:val="24"/>
          <w:szCs w:val="24"/>
          <w:highlight w:val="none"/>
          <w:shd w:val="clear" w:color="auto" w:fill="ffffff"/>
        </w:rPr>
        <w:t xml:space="preserve">单位名称：</w:t>
      </w:r>
      <w:r>
        <w:rPr>
          <w:rFonts w:hint="eastAsia" w:ascii="Arial" w:hAnsi="Arial" w:eastAsia="宋体" w:cs="Arial"/>
          <w:color w:val="000000"/>
          <w:sz w:val="24"/>
          <w:szCs w:val="24"/>
          <w:highlight w:val="none"/>
          <w:shd w:val="clear" w:color="auto" w:fill="ffffff"/>
          <w:lang w:eastAsia="zh-CN"/>
        </w:rPr>
        <w:t xml:space="preserve">南京市六合区竹镇镇人民政府</w:t>
      </w:r>
      <w:r>
        <w:rPr>
          <w:rFonts w:hint="eastAsia" w:ascii="宋体" w:hAnsi="宋体"/>
          <w:color w:val="000000"/>
          <w:sz w:val="24"/>
          <w:szCs w:val="24"/>
          <w:highlight w:val="none"/>
        </w:rPr>
        <w:t xml:space="preserve">          </w:t>
      </w:r>
      <w:r/>
    </w:p>
    <w:p>
      <w:pPr>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单位地址：</w:t>
      </w:r>
      <w:r>
        <w:rPr>
          <w:rFonts w:hint="eastAsia" w:ascii="宋体" w:hAnsi="宋体" w:cs="宋体"/>
          <w:color w:val="000000"/>
          <w:sz w:val="24"/>
          <w:szCs w:val="24"/>
          <w:highlight w:val="none"/>
          <w:lang w:val="en-US" w:eastAsia="zh-CN"/>
        </w:rPr>
        <w:t xml:space="preserve">南京市六合区竹镇镇仕林南路500号</w:t>
      </w:r>
      <w:r>
        <w:rPr>
          <w:rFonts w:hint="eastAsia" w:ascii="宋体" w:hAnsi="宋体"/>
          <w:color w:val="000000"/>
          <w:sz w:val="24"/>
          <w:szCs w:val="24"/>
          <w:highlight w:val="none"/>
        </w:rPr>
        <w:t xml:space="preserve">   </w:t>
      </w:r>
      <w:r/>
    </w:p>
    <w:p>
      <w:pPr>
        <w:ind w:firstLine="480"/>
        <w:spacing w:line="264"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联系人：侯</w:t>
      </w:r>
      <w:r>
        <w:rPr>
          <w:rFonts w:hint="eastAsia" w:ascii="宋体" w:hAnsi="宋体"/>
          <w:color w:val="000000"/>
          <w:sz w:val="24"/>
          <w:szCs w:val="24"/>
          <w:highlight w:val="none"/>
          <w:lang w:val="en-US" w:eastAsia="zh-CN"/>
        </w:rPr>
        <w:t xml:space="preserve">主任</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bookmarkStart w:id="6" w:name="_Toc28359009"/>
      <w:r/>
      <w:bookmarkStart w:id="7" w:name="_Toc28359086"/>
      <w:r>
        <w:rPr>
          <w:rFonts w:hint="eastAsia" w:ascii="宋体" w:hAnsi="宋体"/>
          <w:color w:val="000000"/>
          <w:sz w:val="24"/>
          <w:szCs w:val="24"/>
          <w:highlight w:val="none"/>
        </w:rPr>
        <w:t xml:space="preserve">13405891828</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bookmarkEnd w:id="6"/>
      <w:r/>
      <w:bookmarkEnd w:id="7"/>
      <w:r>
        <w:rPr>
          <w:rFonts w:hint="eastAsia" w:ascii="宋体" w:hAnsi="宋体"/>
          <w:color w:val="000000"/>
          <w:sz w:val="24"/>
          <w:szCs w:val="24"/>
          <w:highlight w:val="none"/>
        </w:rPr>
        <w:t xml:space="preserve">采购代理机构信息</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单位名称：</w:t>
      </w:r>
      <w:r>
        <w:rPr>
          <w:rFonts w:hint="eastAsia" w:ascii="宋体" w:hAnsi="宋体"/>
          <w:color w:val="000000"/>
          <w:sz w:val="24"/>
          <w:szCs w:val="24"/>
          <w:highlight w:val="none"/>
          <w:lang w:eastAsia="zh-CN"/>
        </w:rPr>
        <w:t xml:space="preserve">南京龙成工程咨询有限公司</w:t>
      </w:r>
      <w:r>
        <w:rPr>
          <w:rFonts w:hint="eastAsia" w:ascii="宋体" w:hAnsi="宋体"/>
          <w:color w:val="000000"/>
          <w:sz w:val="24"/>
          <w:szCs w:val="24"/>
          <w:highlight w:val="none"/>
        </w:rPr>
        <w:t xml:space="preserve">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w:t>
      </w:r>
      <w:r>
        <w:rPr>
          <w:rFonts w:hint="eastAsia" w:ascii="宋体" w:hAnsi="宋体"/>
          <w:color w:val="000000"/>
          <w:sz w:val="24"/>
          <w:szCs w:val="24"/>
          <w:highlight w:val="none"/>
          <w:lang w:eastAsia="zh-CN"/>
        </w:rPr>
        <w:t xml:space="preserve">南京市六合区竹镇镇竹丰路5号</w:t>
      </w:r>
      <w:r/>
    </w:p>
    <w:p>
      <w:pPr>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孙工</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联系电话：18005148357</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w:t>
      </w:r>
      <w:r>
        <w:rPr>
          <w:rFonts w:hint="eastAsia" w:ascii="宋体" w:hAnsi="宋体" w:cs="宋体"/>
          <w:color w:val="000000"/>
          <w:sz w:val="24"/>
          <w:szCs w:val="24"/>
          <w:highlight w:val="none"/>
          <w:lang w:eastAsia="zh-CN"/>
        </w:rPr>
        <w:t xml:space="preserve">孙工</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电话：18005148357</w:t>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第二章  供应商须知</w:t>
      </w:r>
      <w:r/>
    </w:p>
    <w:p>
      <w:pPr>
        <w:pStyle w:val="125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8" w:name="_Toc513029203"/>
      <w:r/>
      <w:bookmarkStart w:id="9" w:name="_Toc16938519"/>
      <w:r/>
      <w:bookmarkStart w:id="10" w:name="_Toc20823275"/>
      <w:r/>
      <w:bookmarkStart w:id="11" w:name="_Toc120614214"/>
      <w:r>
        <w:rPr>
          <w:rFonts w:hint="eastAsia" w:ascii="方正黑体_GBK" w:hAnsi="方正黑体_GBK" w:eastAsia="方正黑体_GBK" w:cs="方正黑体_GBK"/>
          <w:b w:val="0"/>
          <w:bCs w:val="0"/>
          <w:color w:val="000000"/>
          <w:sz w:val="30"/>
          <w:szCs w:val="30"/>
          <w:highlight w:val="none"/>
        </w:rPr>
        <w:t xml:space="preserve">一、总则</w:t>
      </w:r>
      <w:bookmarkEnd w:id="8"/>
      <w:r/>
      <w:bookmarkEnd w:id="9"/>
      <w:r/>
      <w:bookmarkEnd w:id="10"/>
      <w:r/>
      <w:bookmarkEnd w:id="11"/>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12" w:name="_Hlt16619475"/>
      <w:r/>
      <w:bookmarkEnd w:id="12"/>
      <w:r/>
      <w:bookmarkStart w:id="13" w:name="_Toc458694821"/>
      <w:r/>
      <w:bookmarkStart w:id="14" w:name="_Toc16938520"/>
      <w:r/>
      <w:bookmarkStart w:id="15" w:name="_Toc20823276"/>
      <w:r/>
      <w:bookmarkStart w:id="16" w:name="_Toc513029204"/>
      <w:r>
        <w:rPr>
          <w:rFonts w:hint="eastAsia" w:ascii="方正楷体_GBK" w:hAnsi="方正楷体_GBK" w:eastAsia="方正楷体_GBK" w:cs="方正楷体_GBK"/>
          <w:color w:val="000000"/>
          <w:highlight w:val="none"/>
        </w:rPr>
        <w:t xml:space="preserve">1</w:t>
      </w:r>
      <w:bookmarkEnd w:id="13"/>
      <w:r>
        <w:rPr>
          <w:rFonts w:hint="eastAsia" w:ascii="方正楷体_GBK" w:hAnsi="方正楷体_GBK" w:eastAsia="方正楷体_GBK" w:cs="方正楷体_GBK"/>
          <w:color w:val="000000"/>
          <w:highlight w:val="none"/>
        </w:rPr>
        <w:t xml:space="preserve">.采购方式</w:t>
      </w:r>
      <w:bookmarkEnd w:id="14"/>
      <w:r/>
      <w:bookmarkEnd w:id="15"/>
      <w:r/>
      <w:bookmarkEnd w:id="16"/>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本次政府采购活动采取竞争性磋商(以下简称“磋商”)方式，本文件仅适用于采购公告中所述项目。</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17" w:name="_Toc20823277"/>
      <w:r/>
      <w:bookmarkStart w:id="18" w:name="_Toc513029205"/>
      <w:r/>
      <w:bookmarkStart w:id="19" w:name="_Toc16938521"/>
      <w:r>
        <w:rPr>
          <w:rFonts w:hint="eastAsia" w:ascii="方正楷体_GBK" w:hAnsi="方正楷体_GBK" w:eastAsia="方正楷体_GBK" w:cs="方正楷体_GBK"/>
          <w:color w:val="000000"/>
          <w:highlight w:val="none"/>
        </w:rPr>
        <w:t xml:space="preserve">2.合格的</w:t>
      </w:r>
      <w:bookmarkEnd w:id="17"/>
      <w:r/>
      <w:bookmarkEnd w:id="18"/>
      <w:r/>
      <w:bookmarkEnd w:id="19"/>
      <w:r>
        <w:rPr>
          <w:rFonts w:hint="eastAsia" w:ascii="方正楷体_GBK" w:hAnsi="方正楷体_GBK" w:eastAsia="方正楷体_GBK" w:cs="方正楷体_GBK"/>
          <w:color w:val="000000"/>
          <w:highlight w:val="none"/>
        </w:rPr>
        <w:t xml:space="preserve">供应商</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 满足采购公告对供应商资格要求的规定。</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 满足磋商文件规定的实质性要求和条件。</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20" w:name="_Toc513029206"/>
      <w:r/>
      <w:bookmarkStart w:id="21" w:name="_Toc16938522"/>
      <w:r/>
      <w:bookmarkStart w:id="22" w:name="_Toc20823278"/>
      <w:r>
        <w:rPr>
          <w:rFonts w:hint="eastAsia" w:ascii="方正楷体_GBK" w:hAnsi="方正楷体_GBK" w:eastAsia="方正楷体_GBK" w:cs="方正楷体_GBK"/>
          <w:color w:val="000000"/>
          <w:highlight w:val="none"/>
        </w:rPr>
        <w:t xml:space="preserve">3.适用法律</w:t>
      </w:r>
      <w:bookmarkEnd w:id="20"/>
      <w:r/>
      <w:bookmarkEnd w:id="21"/>
      <w:r/>
      <w:bookmarkEnd w:id="22"/>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3.1 本次采购及由此产生的合同受中华人民共和国有关的法律法规制约和保护</w:t>
      </w:r>
      <w:r>
        <w:rPr>
          <w:rFonts w:ascii="宋体" w:hAnsi="宋体"/>
          <w:color w:val="000000"/>
          <w:sz w:val="24"/>
          <w:szCs w:val="21"/>
          <w:highlight w:val="none"/>
        </w:rPr>
        <w:t xml:space="preserve">。</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23" w:name="_Toc16938523"/>
      <w:r/>
      <w:bookmarkStart w:id="24" w:name="_Toc462564067"/>
      <w:r/>
      <w:bookmarkStart w:id="25" w:name="_Toc513029207"/>
      <w:r/>
      <w:bookmarkStart w:id="26" w:name="_Toc20823279"/>
      <w:r>
        <w:rPr>
          <w:rFonts w:hint="eastAsia" w:ascii="方正楷体_GBK" w:hAnsi="方正楷体_GBK" w:eastAsia="方正楷体_GBK" w:cs="方正楷体_GBK"/>
          <w:color w:val="000000"/>
          <w:highlight w:val="none"/>
        </w:rPr>
        <w:t xml:space="preserve">4.磋商费用</w:t>
      </w:r>
      <w:bookmarkEnd w:id="23"/>
      <w:r/>
      <w:bookmarkEnd w:id="24"/>
      <w:r/>
      <w:bookmarkEnd w:id="25"/>
      <w:r/>
      <w:bookmarkEnd w:id="26"/>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4.1 供应商应自行承担所有与参加采购有关的费用，无论采购过程中的做法和结果如何，</w:t>
      </w:r>
      <w:r>
        <w:rPr>
          <w:rFonts w:hint="eastAsia" w:ascii="宋体" w:hAnsi="宋体"/>
          <w:color w:val="000000"/>
          <w:sz w:val="24"/>
          <w:highlight w:val="none"/>
        </w:rPr>
        <w:t xml:space="preserve">代理机构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lang w:eastAsia="zh-CN"/>
        </w:rPr>
        <w:t xml:space="preserve">，本项目代理费由成交人支付</w:t>
      </w:r>
      <w:r>
        <w:rPr>
          <w:rFonts w:hint="eastAsia" w:ascii="宋体" w:hAnsi="宋体"/>
          <w:color w:val="000000"/>
          <w:sz w:val="24"/>
          <w:szCs w:val="21"/>
          <w:highlight w:val="none"/>
        </w:rPr>
        <w:t xml:space="preserve">。</w:t>
      </w:r>
      <w:r/>
    </w:p>
    <w:p>
      <w:pPr>
        <w:pStyle w:val="1260"/>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5.磋商文件的约束力</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5.1 供应商一旦参加本项目采购活动，即被认为接受了本文件的规定和约束。</w:t>
      </w:r>
      <w:r/>
    </w:p>
    <w:p>
      <w:pPr>
        <w:pStyle w:val="125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27" w:name="_Toc20823281"/>
      <w:r/>
      <w:bookmarkStart w:id="28" w:name="_Toc16938525"/>
      <w:r/>
      <w:bookmarkStart w:id="29" w:name="_Toc120614215"/>
      <w:r/>
      <w:bookmarkStart w:id="30" w:name="_Toc513029209"/>
      <w:r>
        <w:rPr>
          <w:rFonts w:hint="eastAsia" w:ascii="方正黑体_GBK" w:hAnsi="方正黑体_GBK" w:eastAsia="方正黑体_GBK" w:cs="方正黑体_GBK"/>
          <w:b w:val="0"/>
          <w:bCs w:val="0"/>
          <w:color w:val="000000"/>
          <w:sz w:val="30"/>
          <w:szCs w:val="30"/>
          <w:highlight w:val="none"/>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highlight w:val="none"/>
        </w:rPr>
        <w:t xml:space="preserve">磋商文件</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31" w:name="_Toc16938526"/>
      <w:r/>
      <w:bookmarkStart w:id="32" w:name="_Toc513029210"/>
      <w:r/>
      <w:bookmarkStart w:id="33" w:name="_Toc20823282"/>
      <w:r>
        <w:rPr>
          <w:rFonts w:hint="eastAsia" w:ascii="方正楷体_GBK" w:hAnsi="方正楷体_GBK" w:eastAsia="方正楷体_GBK" w:cs="方正楷体_GBK"/>
          <w:color w:val="000000"/>
          <w:highlight w:val="none"/>
        </w:rPr>
        <w:t xml:space="preserve">6.磋商文件构成</w:t>
      </w:r>
      <w:bookmarkEnd w:id="31"/>
      <w:r/>
      <w:bookmarkEnd w:id="32"/>
      <w:r/>
      <w:bookmarkEnd w:id="33"/>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6.1 磋商文件由以下部分组成：</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（1）磋商邀请</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（2）供应商须知</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（3）合同文本</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（4）采购需求</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（5）评审方法与评审标准</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（6）响应文件格式</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供应商应仔细检查磋商文件是否齐全，如有缺漏请立即与代理机构联系。</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34" w:name="_Toc16938527"/>
      <w:r/>
      <w:bookmarkStart w:id="35" w:name="_Toc513029211"/>
      <w:r/>
      <w:bookmarkStart w:id="36" w:name="_Toc462564070"/>
      <w:r/>
      <w:bookmarkStart w:id="37" w:name="_Toc20823283"/>
      <w:r>
        <w:rPr>
          <w:rFonts w:hint="eastAsia" w:ascii="方正楷体_GBK" w:hAnsi="方正楷体_GBK" w:eastAsia="方正楷体_GBK" w:cs="方正楷体_GBK"/>
          <w:color w:val="000000"/>
          <w:highlight w:val="none"/>
        </w:rPr>
        <w:t xml:space="preserve">7.磋商文件的澄清</w:t>
      </w:r>
      <w:bookmarkEnd w:id="34"/>
      <w:r/>
      <w:bookmarkEnd w:id="35"/>
      <w:r/>
      <w:bookmarkEnd w:id="36"/>
      <w:r/>
      <w:bookmarkEnd w:id="37"/>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7.1 任何要求对磋商文件进行澄清的供应商，应在磋商截止期五日前按采购公告中的通讯地址，以书面形式通知代理机构。</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38" w:name="_Toc462564071"/>
      <w:r/>
      <w:bookmarkStart w:id="39" w:name="_Toc513029212"/>
      <w:r/>
      <w:bookmarkStart w:id="40" w:name="_Toc16938528"/>
      <w:r/>
      <w:bookmarkStart w:id="41" w:name="_Toc20823284"/>
      <w:r>
        <w:rPr>
          <w:rFonts w:hint="eastAsia" w:ascii="方正楷体_GBK" w:hAnsi="方正楷体_GBK" w:eastAsia="方正楷体_GBK" w:cs="方正楷体_GBK"/>
          <w:color w:val="000000"/>
          <w:highlight w:val="none"/>
        </w:rPr>
        <w:t xml:space="preserve">8.磋商文件的修改</w:t>
      </w:r>
      <w:bookmarkEnd w:id="38"/>
      <w:r/>
      <w:bookmarkEnd w:id="39"/>
      <w:r/>
      <w:bookmarkEnd w:id="40"/>
      <w:r/>
      <w:bookmarkEnd w:id="41"/>
      <w:r/>
      <w:r/>
    </w:p>
    <w:p>
      <w:pPr>
        <w:ind w:firstLine="420"/>
        <w:rPr>
          <w:rFonts w:hint="eastAsia" w:ascii="宋体" w:hAnsi="宋体"/>
          <w:color w:val="000000"/>
          <w:sz w:val="24"/>
          <w:szCs w:val="21"/>
          <w:highlight w:val="none"/>
        </w:rPr>
      </w:pPr>
      <w:r/>
      <w:bookmarkStart w:id="42" w:name="_Toc20823285"/>
      <w:r/>
      <w:bookmarkStart w:id="43" w:name="_Toc120614216"/>
      <w:r/>
      <w:bookmarkStart w:id="44" w:name="_Toc513029213"/>
      <w:r/>
      <w:bookmarkStart w:id="45" w:name="_Toc16938529"/>
      <w:r/>
      <w:bookmarkStart w:id="46" w:name="_Toc462564072"/>
      <w:r>
        <w:rPr>
          <w:rFonts w:hint="eastAsia" w:ascii="宋体" w:hAnsi="宋体"/>
          <w:color w:val="000000"/>
          <w:sz w:val="24"/>
          <w:szCs w:val="21"/>
          <w:highlight w:val="none"/>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8.3 代理机构有权按照法定的要求推迟提交响应文件截止时间，并在原公告媒体发布更正公告。</w:t>
      </w:r>
      <w:r/>
    </w:p>
    <w:p>
      <w:pPr>
        <w:pStyle w:val="125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42"/>
      <w:r/>
      <w:bookmarkEnd w:id="43"/>
      <w:r/>
      <w:bookmarkEnd w:id="44"/>
      <w:r/>
      <w:bookmarkEnd w:id="45"/>
      <w:r/>
      <w:bookmarkEnd w:id="46"/>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47" w:name="_Toc462564073"/>
      <w:r/>
      <w:bookmarkStart w:id="48" w:name="_Toc16938530"/>
      <w:r/>
      <w:bookmarkStart w:id="49" w:name="_Toc20823286"/>
      <w:r/>
      <w:bookmarkStart w:id="50" w:name="_Toc513029214"/>
      <w:r>
        <w:rPr>
          <w:rFonts w:hint="eastAsia" w:ascii="方正楷体_GBK" w:hAnsi="方正楷体_GBK" w:eastAsia="方正楷体_GBK" w:cs="方正楷体_GBK"/>
          <w:color w:val="000000"/>
          <w:highlight w:val="none"/>
        </w:rPr>
        <w:t xml:space="preserve">9.响应文件的语言及度量衡单位</w:t>
      </w:r>
      <w:bookmarkEnd w:id="47"/>
      <w:r/>
      <w:bookmarkEnd w:id="48"/>
      <w:r/>
      <w:bookmarkEnd w:id="49"/>
      <w:r/>
      <w:bookmarkEnd w:id="50"/>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9.1 供应商提交的响应文件以及供应商与代理机构就有关磋商的所有来往通知、函件和文件均应使用简体中文。</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9.2 除技术性能另有规定外，响应文件所使用的度量衡单位，均须采用国家法定计量单位。</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51" w:name="_Toc20823287"/>
      <w:r/>
      <w:bookmarkStart w:id="52" w:name="_Toc513029215"/>
      <w:r/>
      <w:bookmarkStart w:id="53" w:name="_Toc16938531"/>
      <w:r/>
      <w:bookmarkStart w:id="54" w:name="_Toc462564074"/>
      <w:r>
        <w:rPr>
          <w:rFonts w:hint="eastAsia" w:ascii="方正楷体_GBK" w:hAnsi="方正楷体_GBK" w:eastAsia="方正楷体_GBK" w:cs="方正楷体_GBK"/>
          <w:color w:val="000000"/>
          <w:highlight w:val="none"/>
        </w:rPr>
        <w:t xml:space="preserve">10.响应文件构成</w:t>
      </w:r>
      <w:bookmarkEnd w:id="51"/>
      <w:r/>
      <w:bookmarkEnd w:id="52"/>
      <w:r/>
      <w:bookmarkEnd w:id="53"/>
      <w:r/>
      <w:bookmarkEnd w:id="54"/>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10.1 供应商编写的响应文件应包括资格证明文件、符合性证明文件、分项报价表、响应及偏离表、其他证明文件、磋商响应函等部分。</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如标书制作工具中格式和内容与“江苏政府采购网”发布的磋商文件不一致，以“江苏政府采购网”发布的磋商文件为准。</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55" w:name="_Hlt26668975"/>
      <w:r/>
      <w:bookmarkEnd w:id="55"/>
      <w:r/>
      <w:bookmarkStart w:id="56" w:name="_Hlt26670360"/>
      <w:r/>
      <w:bookmarkEnd w:id="56"/>
      <w:r/>
      <w:bookmarkStart w:id="57" w:name="_Hlt26954838"/>
      <w:r/>
      <w:bookmarkEnd w:id="57"/>
      <w:r/>
      <w:bookmarkStart w:id="58" w:name="_Toc513029219"/>
      <w:r/>
      <w:bookmarkStart w:id="59" w:name="_Toc49090509"/>
      <w:r/>
      <w:bookmarkStart w:id="60" w:name="_Toc14577357"/>
      <w:r/>
      <w:bookmarkStart w:id="61" w:name="_Toc513029216"/>
      <w:r/>
      <w:bookmarkStart w:id="62" w:name="_Toc49090507"/>
      <w:r/>
      <w:bookmarkStart w:id="63" w:name="_Toc14577354"/>
      <w:r/>
      <w:bookmarkStart w:id="64" w:name="_Toc14577355"/>
      <w:r/>
      <w:bookmarkStart w:id="65" w:name="_Toc49090508"/>
      <w:r>
        <w:rPr>
          <w:rFonts w:hint="eastAsia" w:ascii="方正楷体_GBK" w:hAnsi="方正楷体_GBK" w:eastAsia="方正楷体_GBK" w:cs="方正楷体_GBK"/>
          <w:color w:val="000000"/>
          <w:highlight w:val="none"/>
        </w:rPr>
        <w:t xml:space="preserve">11.证明磋商响应标的符合磋商文件规定的文件</w:t>
      </w:r>
      <w:bookmarkEnd w:id="58"/>
      <w:r/>
      <w:bookmarkEnd w:id="59"/>
      <w:r/>
      <w:bookmarkEnd w:id="60"/>
      <w:r/>
      <w:bookmarkEnd w:id="61"/>
      <w:r/>
      <w:bookmarkEnd w:id="62"/>
      <w:r/>
      <w:bookmarkEnd w:id="63"/>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11.1 供应商</w:t>
      </w:r>
      <w:r>
        <w:rPr>
          <w:rFonts w:hint="eastAsia" w:ascii="宋体" w:hAnsi="宋体"/>
          <w:color w:val="000000"/>
          <w:sz w:val="24"/>
          <w:highlight w:val="none"/>
        </w:rPr>
        <w:t xml:space="preserve">应按照法律、法规、规章和规范性文件以及</w:t>
      </w:r>
      <w:r>
        <w:rPr>
          <w:rFonts w:hint="eastAsia" w:ascii="宋体" w:hAnsi="宋体"/>
          <w:color w:val="000000"/>
          <w:sz w:val="24"/>
          <w:szCs w:val="21"/>
          <w:highlight w:val="none"/>
        </w:rPr>
        <w:t xml:space="preserve">磋商文件要求提交证明文件，证明其响应标的符合磋商文件规定。</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11.2 磋商文件对证明文件无明确形式要求的，证明文件可以以文字资料、图纸和数据等形式提交。</w:t>
      </w:r>
      <w:bookmarkEnd w:id="64"/>
      <w:r/>
      <w:bookmarkEnd w:id="65"/>
      <w:r/>
      <w:r/>
    </w:p>
    <w:p>
      <w:pPr>
        <w:pStyle w:val="1260"/>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12.分项报价表</w:t>
      </w:r>
      <w:r>
        <w:rPr>
          <w:rFonts w:hint="eastAsia" w:ascii="方正楷体_GBK" w:hAnsi="方正楷体_GBK" w:eastAsia="方正楷体_GBK" w:cs="方正楷体_GBK"/>
          <w:color w:val="000000"/>
          <w:highlight w:val="none"/>
          <w:lang w:val="zh-CN"/>
        </w:rPr>
        <w:t xml:space="preserve">（如有）</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12.1 供应商应按照磋商文件规定格式填报分项报价表。</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12.2 响应文件中的单价和总价无特殊规定的采用人民币报价，以元为单位标注。磋商文件另有规定的按规定执行。</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66" w:name="_Hlt26670482"/>
      <w:r/>
      <w:bookmarkEnd w:id="66"/>
      <w:r/>
      <w:bookmarkStart w:id="67" w:name="_Hlt26954848"/>
      <w:r/>
      <w:bookmarkEnd w:id="67"/>
      <w:r/>
      <w:bookmarkStart w:id="68" w:name="_Hlt26954731"/>
      <w:r/>
      <w:bookmarkEnd w:id="68"/>
      <w:r/>
      <w:bookmarkStart w:id="69" w:name="_Hlt26954846"/>
      <w:r/>
      <w:bookmarkEnd w:id="69"/>
      <w:r/>
      <w:bookmarkStart w:id="70" w:name="_Hlt26670486"/>
      <w:r/>
      <w:bookmarkEnd w:id="70"/>
      <w:r>
        <w:rPr>
          <w:rFonts w:hint="eastAsia" w:ascii="方正楷体_GBK" w:hAnsi="方正楷体_GBK" w:eastAsia="方正楷体_GBK" w:cs="方正楷体_GBK"/>
          <w:color w:val="000000"/>
          <w:highlight w:val="none"/>
        </w:rPr>
        <w:t xml:space="preserve">13.响应及偏离表</w:t>
      </w:r>
      <w:r/>
    </w:p>
    <w:p>
      <w:pPr>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13.1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供应商需对磋商文件中的技术要求与商务要求逐项作出响应或偏离说明。</w:t>
      </w:r>
      <w:r/>
    </w:p>
    <w:p>
      <w:pPr>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13.2</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供应商可在响应文件中提供认为需要的其他技术文件或说明。</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71" w:name="_Toc49090510"/>
      <w:r/>
      <w:bookmarkStart w:id="72" w:name="_Toc14577359"/>
      <w:r>
        <w:rPr>
          <w:rFonts w:hint="eastAsia" w:ascii="方正楷体_GBK" w:hAnsi="方正楷体_GBK" w:eastAsia="方正楷体_GBK" w:cs="方正楷体_GBK"/>
          <w:color w:val="000000"/>
          <w:highlight w:val="none"/>
        </w:rPr>
        <w:t xml:space="preserve">14.磋商响应函</w:t>
      </w:r>
      <w:r/>
    </w:p>
    <w:p>
      <w:pPr>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4</w:t>
      </w: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供应商应按照磋商文件规定格式完整、正确填报磋商响应函。</w:t>
      </w:r>
      <w:bookmarkEnd w:id="71"/>
      <w:r/>
      <w:bookmarkEnd w:id="72"/>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73" w:name="_Toc49090511"/>
      <w:r/>
      <w:bookmarkStart w:id="74" w:name="_Toc14577360"/>
      <w:r>
        <w:rPr>
          <w:rFonts w:hint="eastAsia" w:ascii="方正楷体_GBK" w:hAnsi="方正楷体_GBK" w:eastAsia="方正楷体_GBK" w:cs="方正楷体_GBK"/>
          <w:color w:val="000000"/>
          <w:highlight w:val="none"/>
        </w:rPr>
        <w:t xml:space="preserve">15.磋商有效期</w:t>
      </w:r>
      <w:bookmarkEnd w:id="73"/>
      <w:r/>
      <w:bookmarkEnd w:id="74"/>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15.1 磋商有效期为采购公告规定的提交响应文件截止之日起</w:t>
      </w:r>
      <w:r>
        <w:rPr>
          <w:rFonts w:hint="eastAsia" w:ascii="宋体" w:hAnsi="宋体"/>
          <w:color w:val="000000"/>
          <w:sz w:val="24"/>
          <w:szCs w:val="21"/>
          <w:highlight w:val="none"/>
          <w:lang w:val="zh-CN"/>
        </w:rPr>
        <w:t xml:space="preserve">六十天</w:t>
      </w:r>
      <w:r>
        <w:rPr>
          <w:rFonts w:hint="eastAsia" w:ascii="宋体" w:hAnsi="宋体"/>
          <w:color w:val="000000"/>
          <w:sz w:val="24"/>
          <w:szCs w:val="21"/>
          <w:highlight w:val="none"/>
        </w:rPr>
        <w:t xml:space="preserve">。磋商有效期比规定短的将被视为非实质性响应磋商文件而被拒绝。</w:t>
      </w:r>
      <w:r/>
    </w:p>
    <w:p>
      <w:pPr>
        <w:pStyle w:val="1260"/>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16.磋商有效期的延长</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125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5" w:name="_Hlt26954739"/>
      <w:r/>
      <w:bookmarkEnd w:id="75"/>
      <w:r/>
      <w:bookmarkStart w:id="76" w:name="_Hlt26954852"/>
      <w:r/>
      <w:bookmarkEnd w:id="76"/>
      <w:r/>
      <w:bookmarkStart w:id="77" w:name="_Toc16938540"/>
      <w:r/>
      <w:bookmarkStart w:id="78" w:name="_Toc513029224"/>
      <w:r/>
      <w:bookmarkStart w:id="79" w:name="_Toc120614217"/>
      <w:r/>
      <w:bookmarkStart w:id="80"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77"/>
      <w:r/>
      <w:bookmarkEnd w:id="78"/>
      <w:r/>
      <w:bookmarkEnd w:id="79"/>
      <w:r/>
      <w:bookmarkEnd w:id="80"/>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81" w:name="_Toc462564084"/>
      <w:r/>
      <w:bookmarkStart w:id="82" w:name="_Toc513029225"/>
      <w:r/>
      <w:bookmarkStart w:id="83" w:name="_Toc16938541"/>
      <w:r/>
      <w:bookmarkStart w:id="84" w:name="_Toc20823297"/>
      <w:r>
        <w:rPr>
          <w:rFonts w:hint="eastAsia" w:ascii="方正楷体_GBK" w:hAnsi="方正楷体_GBK" w:eastAsia="方正楷体_GBK" w:cs="方正楷体_GBK"/>
          <w:color w:val="000000"/>
          <w:highlight w:val="none"/>
        </w:rPr>
        <w:t xml:space="preserve">17.</w:t>
      </w:r>
      <w:bookmarkEnd w:id="81"/>
      <w:r/>
      <w:bookmarkEnd w:id="82"/>
      <w:r/>
      <w:bookmarkEnd w:id="83"/>
      <w:r/>
      <w:bookmarkEnd w:id="84"/>
      <w:r>
        <w:rPr>
          <w:rFonts w:hint="eastAsia" w:ascii="方正楷体_GBK" w:hAnsi="方正楷体_GBK" w:eastAsia="方正楷体_GBK" w:cs="方正楷体_GBK"/>
          <w:color w:val="000000"/>
          <w:highlight w:val="none"/>
        </w:rPr>
        <w:t xml:space="preserve">响应文件的递交</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17.1 供应商应当按照《操作手册》规定，在采购公告规定的提交响应文件截止时间前制作并上传电子响应文件。</w:t>
      </w:r>
      <w:bookmarkStart w:id="85" w:name="_Toc513029226"/>
      <w:r/>
      <w:bookmarkStart w:id="86" w:name="_Toc16938542"/>
      <w:r/>
      <w:bookmarkStart w:id="87" w:name="_Toc20823298"/>
      <w:r/>
      <w:bookmarkEnd w:id="85"/>
      <w:r/>
      <w:bookmarkEnd w:id="86"/>
      <w:r/>
      <w:bookmarkEnd w:id="87"/>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17.2 供应商应充分考虑网络环境、网络带宽等因素</w:t>
      </w:r>
      <w:r>
        <w:rPr>
          <w:rFonts w:hint="eastAsia" w:ascii="宋体" w:hAnsi="宋体"/>
          <w:color w:val="000000"/>
          <w:sz w:val="24"/>
          <w:highlight w:val="none"/>
        </w:rPr>
        <w:t xml:space="preserve">可能产生的影响</w:t>
      </w:r>
      <w:r>
        <w:rPr>
          <w:rFonts w:hint="eastAsia" w:ascii="宋体" w:hAnsi="宋体"/>
          <w:color w:val="000000"/>
          <w:sz w:val="24"/>
          <w:szCs w:val="21"/>
          <w:highlight w:val="none"/>
        </w:rPr>
        <w:t xml:space="preserve">，如因供应商自身原因造成的电子响应文件上传不成功的，按照本磋商文件第二章第24.3条规定做无效响应处理。</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17.3 代理机构可以按照规定，通过修改磋商文件酌情延长提交响应文件截止日期，在此情况下，供应商的所有权利和义务均以延长后新的截止日期为准。</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88" w:name="_Toc20823299"/>
      <w:r/>
      <w:bookmarkStart w:id="89" w:name="_Toc513029227"/>
      <w:r/>
      <w:bookmarkStart w:id="90" w:name="_Toc16938543"/>
      <w:r>
        <w:rPr>
          <w:rFonts w:hint="eastAsia" w:ascii="方正楷体_GBK" w:hAnsi="方正楷体_GBK" w:eastAsia="方正楷体_GBK" w:cs="方正楷体_GBK"/>
          <w:color w:val="000000"/>
          <w:highlight w:val="none"/>
        </w:rPr>
        <w:t xml:space="preserve">18.响应文件</w:t>
      </w:r>
      <w:bookmarkEnd w:id="88"/>
      <w:r/>
      <w:bookmarkEnd w:id="89"/>
      <w:r/>
      <w:bookmarkEnd w:id="90"/>
      <w:r>
        <w:rPr>
          <w:rFonts w:hint="eastAsia" w:ascii="方正楷体_GBK" w:hAnsi="方正楷体_GBK" w:eastAsia="方正楷体_GBK" w:cs="方正楷体_GBK"/>
          <w:color w:val="000000"/>
          <w:highlight w:val="none"/>
        </w:rPr>
        <w:t xml:space="preserve">的拒收</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18.1 提交响应文件截止时间后上传的任何响应文件将被拒绝。</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91" w:name="_Toc513029228"/>
      <w:r/>
      <w:bookmarkStart w:id="92" w:name="_Toc20823300"/>
      <w:r/>
      <w:bookmarkStart w:id="93" w:name="_Toc16938544"/>
      <w:r>
        <w:rPr>
          <w:rFonts w:hint="eastAsia" w:ascii="方正楷体_GBK" w:hAnsi="方正楷体_GBK" w:eastAsia="方正楷体_GBK" w:cs="方正楷体_GBK"/>
          <w:color w:val="000000"/>
          <w:highlight w:val="none"/>
        </w:rPr>
        <w:t xml:space="preserve">19.响应文件的撤回和修改</w:t>
      </w:r>
      <w:bookmarkEnd w:id="91"/>
      <w:r/>
      <w:bookmarkEnd w:id="92"/>
      <w:r/>
      <w:bookmarkEnd w:id="93"/>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19.1 响应文件的撤回</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19.1.1 供应商可在提交响应文件截止时间前，撤回其电子响应文件，具体操作方法见《操作手册》。</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19.1.2 供应商撤回电子响应文件，则认为其不再参与本项目磋商活动。</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19.2 响应文件的修改</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19.2.1 供应商可在提交响应文件截止时间前，对其电子响应文件进行修改，具体操作方法见《操作手册》。</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19.2.2 提交响应文件截止时间之后，供应商不得对其电子响应文件作任何修改。</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19.3 在提交响应文件截止时间至磋商文件中规定的磋商有效期满之间的这段时间内，供应商不得撤回其响应文件。</w:t>
      </w:r>
      <w:r/>
    </w:p>
    <w:p>
      <w:pPr>
        <w:pStyle w:val="125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94" w:name="_Toc120614218"/>
      <w:r/>
      <w:bookmarkStart w:id="95" w:name="_Toc16938545"/>
      <w:r/>
      <w:bookmarkStart w:id="96" w:name="_Toc513029229"/>
      <w:r/>
      <w:bookmarkStart w:id="97" w:name="_Toc20823301"/>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4"/>
      <w:r/>
      <w:bookmarkEnd w:id="95"/>
      <w:r/>
      <w:bookmarkEnd w:id="96"/>
      <w:r/>
      <w:bookmarkEnd w:id="97"/>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98" w:name="_Toc20823302"/>
      <w:r/>
      <w:bookmarkStart w:id="99" w:name="_Toc16938546"/>
      <w:r/>
      <w:bookmarkStart w:id="100" w:name="_Toc513029230"/>
      <w:r>
        <w:rPr>
          <w:rFonts w:hint="eastAsia" w:ascii="方正楷体_GBK" w:hAnsi="方正楷体_GBK" w:eastAsia="方正楷体_GBK" w:cs="方正楷体_GBK"/>
          <w:color w:val="000000"/>
          <w:highlight w:val="none"/>
        </w:rPr>
        <w:t xml:space="preserve">2</w:t>
      </w:r>
      <w:bookmarkEnd w:id="98"/>
      <w:r/>
      <w:bookmarkEnd w:id="99"/>
      <w:r/>
      <w:bookmarkEnd w:id="100"/>
      <w:r>
        <w:rPr>
          <w:rFonts w:hint="eastAsia" w:ascii="方正楷体_GBK" w:hAnsi="方正楷体_GBK" w:eastAsia="方正楷体_GBK" w:cs="方正楷体_GBK"/>
          <w:color w:val="000000"/>
          <w:highlight w:val="none"/>
        </w:rPr>
        <w:t xml:space="preserve">0.响应文件解密</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20.1 供应商应当按照《操作手册》规定，在苏采云系统规定的时间内对响应文件进行解密。</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101" w:name="_Toc20823303"/>
      <w:r/>
      <w:bookmarkStart w:id="102" w:name="_Toc513029231"/>
      <w:r/>
      <w:bookmarkStart w:id="103" w:name="_Toc16938547"/>
      <w:r>
        <w:rPr>
          <w:rFonts w:hint="eastAsia" w:ascii="方正楷体_GBK" w:hAnsi="方正楷体_GBK" w:eastAsia="方正楷体_GBK" w:cs="方正楷体_GBK"/>
          <w:color w:val="000000"/>
          <w:highlight w:val="none"/>
        </w:rPr>
        <w:t xml:space="preserve">21.磋商</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21.1 依法组建的磋商小组对响应文件进行评审。</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21.2 磋商小组由采购人代表和有关技术、经济或法律等方面的专家组成，且人员构成符合政府采购有关规定。</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21.3 磋商小组独立工作，负责评审所有响应文件并推荐成交候选人，或根据采购人授权直接确定成交供应商。</w:t>
      </w:r>
      <w:r/>
    </w:p>
    <w:p>
      <w:pPr>
        <w:pStyle w:val="1260"/>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22.评审过程的保密与公正</w:t>
      </w:r>
      <w:bookmarkEnd w:id="101"/>
      <w:r/>
      <w:bookmarkEnd w:id="102"/>
      <w:r/>
      <w:bookmarkEnd w:id="103"/>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 磋商小组、采购人和代理机构工作人员、相关监督人员等与评审工作有关的人员，对评审情况以及在评审过程中获悉的国家秘密、商业秘密负有保密责任。</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22.2 供应商不得以任何方式影响评审过程，否则其响应文件将被作为无效响应文件。</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22.3 代理机构和磋商小组不向未成交的供应商解释未成交原因，也不公布评审过程中的相关细节。</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104" w:name="_Toc513029232"/>
      <w:r/>
      <w:bookmarkStart w:id="105" w:name="_Toc16938548"/>
      <w:r/>
      <w:bookmarkStart w:id="106" w:name="_Toc20823304"/>
      <w:r>
        <w:rPr>
          <w:rFonts w:hint="eastAsia" w:ascii="方正楷体_GBK" w:hAnsi="方正楷体_GBK" w:eastAsia="方正楷体_GBK" w:cs="方正楷体_GBK"/>
          <w:color w:val="000000"/>
          <w:highlight w:val="none"/>
        </w:rPr>
        <w:t xml:space="preserve">23.评审过程中的澄清</w:t>
      </w:r>
      <w:bookmarkEnd w:id="104"/>
      <w:r/>
      <w:bookmarkEnd w:id="105"/>
      <w:r/>
      <w:bookmarkEnd w:id="106"/>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供应商的澄清、说明或者补正不得超出响应文件的范围或者改变响应文件的实质性内容。</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磋商小组并非对每个供应商都做澄清要求。</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23.2 需要供应商进行澄清、说明和补正的，磋商小组将通过苏采云系统向供应商发出</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，接到</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的供应商应当按照要求在苏采云系统中提交</w:t>
      </w:r>
      <w:r>
        <w:rPr>
          <w:rFonts w:hint="eastAsia" w:ascii="宋体" w:hAnsi="宋体"/>
          <w:color w:val="000000"/>
          <w:sz w:val="24"/>
          <w:highlight w:val="none"/>
          <w:lang w:val="zh-CN"/>
        </w:rPr>
        <w:t xml:space="preserve">《澄清响应函》</w:t>
      </w:r>
      <w:r>
        <w:rPr>
          <w:rFonts w:hint="eastAsia" w:ascii="宋体" w:hAnsi="宋体"/>
          <w:color w:val="000000"/>
          <w:sz w:val="24"/>
          <w:szCs w:val="21"/>
          <w:highlight w:val="none"/>
        </w:rPr>
        <w:t xml:space="preserve">并加盖电子公章。澄清、说明和补正的内容作为响应文件的补充部分，具体操作方式见《操作手册》。</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23.3 接到磋商小组澄清、说明和补正要求的供应商如未按规定做出澄清、说明和补正，其风险由供应商自行承担。</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107" w:name="_Toc20823305"/>
      <w:r/>
      <w:bookmarkStart w:id="108" w:name="_Toc513029233"/>
      <w:r/>
      <w:bookmarkStart w:id="109" w:name="_Toc16938549"/>
      <w:r>
        <w:rPr>
          <w:rFonts w:hint="eastAsia" w:ascii="方正楷体_GBK" w:hAnsi="方正楷体_GBK" w:eastAsia="方正楷体_GBK" w:cs="方正楷体_GBK"/>
          <w:color w:val="000000"/>
          <w:highlight w:val="none"/>
        </w:rPr>
        <w:t xml:space="preserve">24.响应文件的审</w:t>
      </w:r>
      <w:bookmarkEnd w:id="107"/>
      <w:r/>
      <w:bookmarkEnd w:id="108"/>
      <w:r/>
      <w:bookmarkEnd w:id="109"/>
      <w:r>
        <w:rPr>
          <w:rFonts w:hint="eastAsia" w:ascii="方正楷体_GBK" w:hAnsi="方正楷体_GBK" w:eastAsia="方正楷体_GBK" w:cs="方正楷体_GBK"/>
          <w:color w:val="000000"/>
          <w:highlight w:val="none"/>
        </w:rPr>
        <w:t xml:space="preserve">查</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24.1 响应文件审查分为资格审查和符合性审查。</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磋商小组进行资格审查时，将在“信用中国”网站（www.creditchina.gov.cn）查询供应商的信用记录，以确定供应商是否具备磋商资格,查询结果留存并归档。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24.1.3 未通过资格审查或符合性审查的供应商，磋商小组将通过苏采云系统告知具体原因，评审结束后将不再接受有关询问。</w:t>
      </w:r>
      <w:r/>
    </w:p>
    <w:p>
      <w:pPr>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color w:val="000000"/>
          <w:sz w:val="24"/>
          <w:szCs w:val="21"/>
          <w:highlight w:val="none"/>
        </w:rPr>
      </w:pPr>
      <w:r>
        <w:rPr>
          <w:rFonts w:hint="eastAsia" w:ascii="宋体" w:hAnsi="宋体"/>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磋商小组</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w:t>
      </w:r>
      <w:r>
        <w:rPr>
          <w:rFonts w:hint="eastAsia" w:ascii="宋体" w:hAnsi="宋体"/>
          <w:color w:val="000000"/>
          <w:sz w:val="24"/>
          <w:szCs w:val="21"/>
          <w:highlight w:val="none"/>
        </w:rPr>
        <w:t xml:space="preserve">磋商小组</w:t>
      </w:r>
      <w:r>
        <w:rPr>
          <w:rFonts w:hint="eastAsia" w:ascii="宋体" w:hAnsi="宋体"/>
          <w:color w:val="000000"/>
          <w:sz w:val="24"/>
          <w:highlight w:val="none"/>
        </w:rPr>
        <w:t xml:space="preserve">认</w:t>
      </w:r>
      <w:r>
        <w:rPr>
          <w:rFonts w:hint="eastAsia" w:ascii="宋体" w:hAnsi="宋体"/>
          <w:color w:val="000000"/>
          <w:sz w:val="24"/>
          <w:highlight w:val="none"/>
          <w:lang w:val="zh-CN"/>
        </w:rPr>
        <w:t xml:space="preserve">定响应文件的响应性只根据响应文件本身的内容，而不寻求外部的证据。</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 未实质性响应磋商文件的情形</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24.3.1 供应商在苏采云系统规定的时间内未成功解密电子响应文件。</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24.3.2 供应商未按照磋商文件要求上传电子响应文件。</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24.3.3 同一供应商提交两个（含两个）以上不同的响应文件或者最后报价。</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24.3.4 供应商不具备磋商文件中规定的资格要求。</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24.3.5 供应商的最后报价超过了采购预算或最高限价。</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24.3.6 不符合磋商文件中规定的实质性要求和条件（</w:t>
      </w:r>
      <w:r>
        <w:rPr>
          <w:rFonts w:hint="eastAsia" w:ascii="宋体" w:hAnsi="宋体"/>
          <w:b/>
          <w:bCs/>
          <w:color w:val="000000"/>
          <w:sz w:val="24"/>
          <w:szCs w:val="21"/>
          <w:highlight w:val="none"/>
        </w:rPr>
        <w:t xml:space="preserve">本文件中斜体且有下划线部分</w:t>
      </w:r>
      <w:r>
        <w:rPr>
          <w:rFonts w:hint="eastAsia" w:ascii="宋体" w:hAnsi="宋体"/>
          <w:b/>
          <w:bCs/>
          <w:color w:val="000000"/>
          <w:sz w:val="24"/>
          <w:szCs w:val="21"/>
          <w:highlight w:val="none"/>
          <w:lang w:val="zh-CN"/>
        </w:rPr>
        <w:t xml:space="preserve">或者打“</w:t>
      </w:r>
      <w:r>
        <w:rPr>
          <w:rFonts w:hint="eastAsia" w:ascii="宋体" w:hAnsi="宋体"/>
          <w:b/>
          <w:bCs/>
          <w:color w:val="000000"/>
          <w:sz w:val="24"/>
          <w:szCs w:val="21"/>
          <w:highlight w:val="none"/>
        </w:rPr>
        <w:t xml:space="preserve">★</w:t>
      </w:r>
      <w:r>
        <w:rPr>
          <w:rFonts w:hint="eastAsia" w:ascii="宋体" w:hAnsi="宋体"/>
          <w:b/>
          <w:bCs/>
          <w:color w:val="000000"/>
          <w:sz w:val="24"/>
          <w:szCs w:val="21"/>
          <w:highlight w:val="none"/>
          <w:lang w:val="zh-CN"/>
        </w:rPr>
        <w:t xml:space="preserve">”内容，</w:t>
      </w:r>
      <w:r>
        <w:rPr>
          <w:rFonts w:hint="eastAsia" w:ascii="宋体" w:hAnsi="宋体"/>
          <w:b/>
          <w:bCs/>
          <w:color w:val="000000"/>
          <w:sz w:val="24"/>
          <w:szCs w:val="21"/>
          <w:highlight w:val="none"/>
        </w:rPr>
        <w:t xml:space="preserve">为实质性要求和条件</w:t>
      </w:r>
      <w:r>
        <w:rPr>
          <w:rFonts w:hint="eastAsia" w:ascii="宋体" w:hAnsi="宋体"/>
          <w:color w:val="000000"/>
          <w:sz w:val="24"/>
          <w:szCs w:val="21"/>
          <w:highlight w:val="none"/>
        </w:rPr>
        <w:t xml:space="preserve">）。</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24.3.8 响应文件含有采购人不能接受的附加条件。</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24.3.10 </w:t>
      </w:r>
      <w:r>
        <w:rPr>
          <w:rFonts w:hint="eastAsia" w:ascii="宋体" w:hAnsi="宋体"/>
          <w:color w:val="000000"/>
          <w:sz w:val="24"/>
          <w:szCs w:val="21"/>
          <w:highlight w:val="none"/>
          <w:lang w:val="zh-CN"/>
        </w:rPr>
        <w:t xml:space="preserve">采购产品被财政部、国家发改委、生态环境部等列入“节能产品品目清单”强制采购范围，而供应商提供的产品不在强制采购范围内。</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24.3.11 响应文件未按照磋商文件要求加盖电子公章。</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24.3.12 法律法规及本磋商文件规定的其他无效响应的情形。</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 未实质性响应磋商文件的响应文件按无效响应处理。</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24.5 如果响应文件实质上没有响应磋商文件的要求，磋商小组将予以拒绝，供应商不得通过修改或撤销不合要求的偏离或保留而使其成为实质性响应的文件。</w:t>
      </w:r>
      <w:r/>
    </w:p>
    <w:p>
      <w:pPr>
        <w:ind w:firstLine="420"/>
        <w:rPr>
          <w:rFonts w:hint="eastAsia" w:ascii="宋体" w:hAnsi="宋体"/>
          <w:color w:val="000000"/>
          <w:sz w:val="24"/>
          <w:szCs w:val="21"/>
          <w:highlight w:val="none"/>
        </w:rPr>
      </w:pPr>
      <w:r/>
      <w:bookmarkStart w:id="110" w:name="_Toc16938550"/>
      <w:r/>
      <w:bookmarkStart w:id="111" w:name="_Toc513029234"/>
      <w:r/>
      <w:bookmarkStart w:id="112" w:name="_Toc20823306"/>
      <w:r>
        <w:rPr>
          <w:rFonts w:hint="eastAsia" w:ascii="宋体" w:hAnsi="宋体"/>
          <w:color w:val="000000"/>
          <w:sz w:val="24"/>
          <w:szCs w:val="21"/>
          <w:highlight w:val="none"/>
        </w:rPr>
        <w:t xml:space="preserve">24.6 供应商在项目评审全过程中应保持通讯畅通，</w:t>
      </w:r>
      <w:r>
        <w:rPr>
          <w:rFonts w:hint="eastAsia" w:ascii="宋体" w:hAnsi="宋体"/>
          <w:color w:val="000000"/>
          <w:sz w:val="24"/>
          <w:highlight w:val="none"/>
          <w:lang w:val="zh-CN"/>
        </w:rPr>
        <w:t xml:space="preserve">及时登录苏采云系统查阅、答复相关信息，并安排专人与代理机构及磋商小组联系。</w:t>
      </w:r>
      <w:r/>
    </w:p>
    <w:p>
      <w:pPr>
        <w:pStyle w:val="1260"/>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10"/>
      <w:r/>
      <w:bookmarkEnd w:id="111"/>
      <w:r/>
      <w:bookmarkEnd w:id="112"/>
      <w:r>
        <w:rPr>
          <w:rFonts w:hint="eastAsia" w:ascii="方正楷体_GBK" w:hAnsi="方正楷体_GBK" w:eastAsia="方正楷体_GBK" w:cs="方正楷体_GBK"/>
          <w:color w:val="000000"/>
          <w:highlight w:val="none"/>
        </w:rPr>
        <w:t xml:space="preserve">5.磋商程序及评审方法与评审标准</w:t>
      </w:r>
      <w:r/>
    </w:p>
    <w:p>
      <w:pPr>
        <w:ind w:firstLine="420"/>
        <w:rPr>
          <w:rFonts w:hint="eastAsia" w:ascii="宋体" w:hAnsi="宋体"/>
          <w:color w:val="000000"/>
          <w:sz w:val="24"/>
          <w:szCs w:val="21"/>
          <w:highlight w:val="none"/>
        </w:rPr>
      </w:pPr>
      <w:r/>
      <w:bookmarkStart w:id="113" w:name="_Toc120614219"/>
      <w:r/>
      <w:bookmarkStart w:id="114" w:name="_Toc20823307"/>
      <w:r/>
      <w:bookmarkStart w:id="115" w:name="_Toc16938551"/>
      <w:r/>
      <w:bookmarkStart w:id="116" w:name="_Toc513029235"/>
      <w:r>
        <w:rPr>
          <w:rFonts w:hint="eastAsia" w:ascii="宋体" w:hAnsi="宋体"/>
          <w:color w:val="000000"/>
          <w:sz w:val="24"/>
          <w:szCs w:val="21"/>
          <w:highlight w:val="none"/>
        </w:rPr>
        <w:t xml:space="preserve">25.1 磋商程序</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354"/>
        <w:keepNext/>
        <w:pageBreakBefore w:val="0"/>
        <w:spacing w:line="360" w:lineRule="exact"/>
        <w:widowControl/>
        <w:rPr>
          <w:rFonts w:hint="eastAsia" w:ascii="宋体" w:hAnsi="宋体"/>
          <w:color w:val="auto"/>
          <w:sz w:val="24"/>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本项目报价遵循苏财购〔2025〕62 号文件《关于推动解决政府采购异常低价问题相关工作的通知》要求执行，评审中出现下列情形之一的，评审小组应当启动异常低价投标（响应）审查程序：响应低于采购项目预算 50% 的；响应报价低于采购项目最高限价 45% 的；评审小组认定的供应商报价过低、有可能影响产品质量或者不能诚信履约的其他情形。评审小组将通过苏采云系统要求供应商在评标现场合理的时间</w:t>
      </w:r>
      <w:r>
        <w:rPr>
          <w:rFonts w:hint="eastAsia" w:ascii="宋体" w:hAnsi="宋体" w:eastAsia="宋体" w:cs="宋体"/>
          <w:b/>
          <w:color w:val="auto"/>
          <w:sz w:val="24"/>
        </w:rPr>
        <w:t xml:space="preserve">(30分钟)</w:t>
      </w:r>
      <w:r>
        <w:rPr>
          <w:rFonts w:ascii="宋体" w:hAnsi="宋体" w:eastAsia="宋体" w:cs="宋体"/>
          <w:b/>
          <w:color w:val="auto"/>
          <w:sz w:val="24"/>
        </w:rPr>
        <w:t xml:space="preserve">内，提供项目具体成本测算等与报价合理性相关的书面说明及相关证明材料，对响应价格作出解释，由评审小组对供应商报价合理性进行判断。供应商不提供书面说明、证明材料，或者提供的书面说明、证明材料不能证明其报价合理性的，评审小组应当将其作为无效响应处理</w:t>
      </w:r>
      <w:r>
        <w:rPr>
          <w:rFonts w:ascii="宋体" w:hAnsi="宋体" w:eastAsia="宋体" w:cs="宋体"/>
          <w:color w:val="auto"/>
          <w:sz w:val="24"/>
        </w:rPr>
        <w:t xml:space="preserve">；</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 评审方法与评审标准</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25.2.1 评审方法。见磋商文件第五章。</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25.2.2 评审标准。见磋商文件第五章。</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 采购活动终止</w:t>
      </w:r>
      <w:r/>
    </w:p>
    <w:p>
      <w:pPr>
        <w:ind w:firstLine="422"/>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出现下列情形之一的，本次采购活动终止：</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25.3.1 因情况变化，不再符合竞争性磋商采购方式适用情形。</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25.3.2 出现影响采购公正的违法、违规行为。</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25.3.3 在苏采云系统规定时间内成功解密电子响应文件的供应商不足三家。</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5</w:t>
      </w:r>
      <w:r>
        <w:rPr>
          <w:rFonts w:hint="eastAsia" w:ascii="宋体" w:hAnsi="宋体"/>
          <w:color w:val="000000"/>
          <w:sz w:val="24"/>
          <w:szCs w:val="21"/>
          <w:highlight w:val="none"/>
          <w:lang w:val="zh-CN"/>
        </w:rPr>
        <w:t xml:space="preserve">.3.5</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法律法规规定的其他应当终止情形。</w:t>
      </w:r>
      <w:r/>
    </w:p>
    <w:p>
      <w:pPr>
        <w:pStyle w:val="125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highlight w:val="none"/>
        </w:rPr>
        <w:t xml:space="preserve">成交</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117" w:name="_Toc513029238"/>
      <w:r/>
      <w:bookmarkStart w:id="118" w:name="_Toc20823310"/>
      <w:r/>
      <w:bookmarkStart w:id="119" w:name="_Toc16938554"/>
      <w:r>
        <w:rPr>
          <w:rFonts w:hint="eastAsia" w:ascii="方正楷体_GBK" w:hAnsi="方正楷体_GBK" w:eastAsia="方正楷体_GBK" w:cs="方正楷体_GBK"/>
          <w:color w:val="000000"/>
          <w:highlight w:val="none"/>
        </w:rPr>
        <w:t xml:space="preserve">2</w:t>
      </w:r>
      <w:bookmarkEnd w:id="117"/>
      <w:r>
        <w:rPr>
          <w:rFonts w:hint="eastAsia" w:ascii="方正楷体_GBK" w:hAnsi="方正楷体_GBK" w:eastAsia="方正楷体_GBK" w:cs="方正楷体_GBK"/>
          <w:color w:val="000000"/>
          <w:highlight w:val="none"/>
        </w:rPr>
        <w:t xml:space="preserve">6.确定</w:t>
      </w:r>
      <w:bookmarkEnd w:id="118"/>
      <w:r/>
      <w:bookmarkEnd w:id="119"/>
      <w:r>
        <w:rPr>
          <w:rFonts w:hint="eastAsia" w:ascii="方正楷体_GBK" w:hAnsi="方正楷体_GBK" w:eastAsia="方正楷体_GBK" w:cs="方正楷体_GBK"/>
          <w:color w:val="000000"/>
          <w:highlight w:val="none"/>
        </w:rPr>
        <w:t xml:space="preserve">成交单位</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26.1 成交候选供应商的确定原则和数量见磋商文件第五章。</w:t>
      </w:r>
      <w:r/>
    </w:p>
    <w:p>
      <w:pPr>
        <w:ind w:firstLine="420"/>
        <w:rPr>
          <w:rFonts w:ascii="宋体" w:hAnsi="宋体"/>
          <w:color w:val="000000"/>
          <w:sz w:val="24"/>
          <w:szCs w:val="24"/>
          <w:highlight w:val="none"/>
        </w:rPr>
      </w:pPr>
      <w:r>
        <w:rPr>
          <w:rFonts w:hint="eastAsia" w:ascii="宋体" w:hAnsi="宋体"/>
          <w:color w:val="000000"/>
          <w:sz w:val="24"/>
          <w:szCs w:val="21"/>
          <w:highlight w:val="none"/>
        </w:rPr>
        <w:t xml:space="preserve">26.2 </w:t>
      </w:r>
      <w:r>
        <w:rPr>
          <w:rFonts w:hint="eastAsia" w:ascii="宋体" w:hAnsi="宋体"/>
          <w:color w:val="000000"/>
          <w:sz w:val="24"/>
          <w:szCs w:val="21"/>
          <w:highlight w:val="none"/>
          <w:lang w:val="zh-CN"/>
        </w:rPr>
        <w:t xml:space="preserve">按以下第（</w:t>
      </w:r>
      <w:r>
        <w:rPr>
          <w:rFonts w:hint="eastAsia" w:ascii="宋体" w:hAnsi="宋体"/>
          <w:color w:val="000000"/>
          <w:sz w:val="24"/>
          <w:szCs w:val="21"/>
          <w:highlight w:val="none"/>
        </w:rPr>
        <w:t xml:space="preserve">1</w:t>
      </w:r>
      <w:r>
        <w:rPr>
          <w:rFonts w:hint="eastAsia" w:ascii="宋体" w:hAnsi="宋体"/>
          <w:color w:val="000000"/>
          <w:sz w:val="24"/>
          <w:szCs w:val="21"/>
          <w:highlight w:val="none"/>
          <w:lang w:val="zh-CN"/>
        </w:rPr>
        <w:t xml:space="preserve">）种方式确定</w:t>
      </w:r>
      <w:r>
        <w:rPr>
          <w:rFonts w:hint="eastAsia" w:ascii="宋体" w:hAnsi="宋体"/>
          <w:color w:val="000000"/>
          <w:sz w:val="24"/>
          <w:szCs w:val="21"/>
          <w:highlight w:val="none"/>
        </w:rPr>
        <w:t xml:space="preserve">成交供应商</w:t>
      </w:r>
      <w:r/>
    </w:p>
    <w:p>
      <w:pPr>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直接确定排名第一的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为</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p>
    <w:p>
      <w:pPr>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（2）采购人在</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p>
    <w:p>
      <w:pPr>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按第二种方式确定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26.3 代理机构将在“江苏政府采购网”发布成交结果公告，公告期限为1个工作日。</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 </w:t>
      </w:r>
      <w:r>
        <w:rPr>
          <w:rFonts w:hint="eastAsia" w:ascii="宋体" w:hAnsi="宋体"/>
          <w:b/>
          <w:bCs/>
          <w:color w:val="000000"/>
          <w:sz w:val="24"/>
          <w:szCs w:val="21"/>
          <w:highlight w:val="none"/>
        </w:rPr>
        <w:t xml:space="preserve">若有充分证据证明成交供应商有下列情况之一的，一经查实将被取消成交资格：</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26.4.1 提供虚假材料谋取成交。</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26.4.2 向评审专家、采购人或代理机构工作人员行贿或者提供其他不正当利益。</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26.4.3 与其他供应商、评审专家、采购人或代理机构工作人员恶意串通。</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26.4.4 不满足本磋商文件规定的实质性要求，但在评审过程中未被磋商小组发现。</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26.4.5 采取不正当手段诋毁、排挤其他供应商。</w:t>
      </w:r>
      <w:r/>
    </w:p>
    <w:p>
      <w:pPr>
        <w:pStyle w:val="1260"/>
        <w:ind w:firstLine="420"/>
        <w:spacing w:before="0" w:after="0" w:line="240" w:lineRule="auto"/>
        <w:rPr>
          <w:rFonts w:hint="eastAsia" w:ascii="方正楷体_GBK" w:hAnsi="方正楷体_GBK" w:eastAsia="方正楷体_GBK" w:cs="方正楷体_GBK"/>
          <w:color w:val="000000"/>
          <w:highlight w:val="none"/>
        </w:rPr>
      </w:pPr>
      <w:r/>
      <w:bookmarkStart w:id="120" w:name="_Toc200451960"/>
      <w:r>
        <w:rPr>
          <w:rFonts w:hint="eastAsia" w:ascii="方正楷体_GBK" w:hAnsi="方正楷体_GBK" w:eastAsia="方正楷体_GBK" w:cs="方正楷体_GBK"/>
          <w:color w:val="000000"/>
          <w:highlight w:val="none"/>
        </w:rPr>
        <w:t xml:space="preserve">27.成交通知书</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27.1 成交结果确定后，代理机构将向成交供应商发出《成交通知书》。成交供应商可在成交结果公告届满之日起三十日内，登录苏采云系统下载。    </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125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1260"/>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28.签订合同</w:t>
      </w:r>
      <w:r/>
    </w:p>
    <w:p>
      <w:pPr>
        <w:ind w:firstLine="420"/>
        <w:rPr>
          <w:rFonts w:ascii="宋体" w:hAnsi="宋体"/>
          <w:color w:val="000000"/>
          <w:sz w:val="24"/>
          <w:highlight w:val="none"/>
        </w:rPr>
      </w:pPr>
      <w:r>
        <w:rPr>
          <w:rFonts w:hint="eastAsia" w:ascii="宋体" w:hAnsi="宋体"/>
          <w:color w:val="000000"/>
          <w:sz w:val="24"/>
          <w:szCs w:val="21"/>
          <w:highlight w:val="none"/>
        </w:rPr>
        <w:t xml:space="preserve">28.l 成交供应商应当在《成交通知书》发出之日起三十日内，按照磋商文件确定的事项与采购人签订政府采购合同。</w:t>
      </w:r>
      <w:r>
        <w:rPr>
          <w:rFonts w:hint="eastAsia" w:ascii="宋体" w:hAnsi="宋体"/>
          <w:color w:val="000000"/>
          <w:sz w:val="24"/>
          <w:highlight w:val="none"/>
        </w:rPr>
        <w:t xml:space="preserve">采购人于合同签订后2个工作日内通过苏采云系统进行公示。</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28.2 磋商文件、成交供应商的响应文件及磋商过程中有关澄清、承诺文件均作为合同附件。</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28.4 成交供应商因自身原因拒绝与采购人签订合同的，</w:t>
      </w:r>
      <w:r>
        <w:rPr>
          <w:rFonts w:hint="eastAsia" w:ascii="宋体" w:hAnsi="宋体"/>
          <w:color w:val="000000"/>
          <w:sz w:val="24"/>
          <w:highlight w:val="none"/>
          <w:lang w:val="zh-CN"/>
        </w:rPr>
        <w:t xml:space="preserve">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p>
    <w:p>
      <w:pPr>
        <w:pStyle w:val="1260"/>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p>
    <w:p>
      <w:pPr>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260"/>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p>
    <w:p>
      <w:pPr>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30.1 成交供应商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p>
    <w:p>
      <w:pPr>
        <w:ind w:firstLine="420"/>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150号），需要缴纳履约保证金的，成交供应商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p>
    <w:p>
      <w:pPr>
        <w:pStyle w:val="125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bookmarkEnd w:id="120"/>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规定以书面形式向采购人或代理机构提出质疑。</w:t>
      </w:r>
      <w:r>
        <w:rPr>
          <w:rFonts w:hint="eastAsia" w:ascii="宋体" w:hAnsi="宋体"/>
          <w:b/>
          <w:bCs/>
          <w:color w:val="000000"/>
          <w:sz w:val="24"/>
          <w:highlight w:val="none"/>
          <w:lang w:val="zh-CN"/>
        </w:rPr>
        <w:t xml:space="preserve">上述应知其权益受到损害之日是指：</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对采购文件提出质疑的，为收到采购文件之日或者采购文件公告期限届满之日。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对采购过程提出质疑的，为各采购程序环节结束之日。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对成交结果提出质疑的，为成交结果公告期限届满之日。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采购人将只对供应商第一次质疑作出答复。</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color w:val="000000"/>
          <w:sz w:val="24"/>
          <w:highlight w:val="none"/>
          <w:lang w:val="zh-CN"/>
        </w:rPr>
        <w:t xml:space="preserve">供应商对除上述事项以外其他事项的询问、质疑向采购人提出，由采购人负责答复。</w:t>
      </w:r>
      <w:r>
        <w:rPr>
          <w:rFonts w:hint="eastAsia" w:ascii="宋体" w:hAnsi="宋体"/>
          <w:color w:val="000000"/>
          <w:sz w:val="24"/>
          <w:highlight w:val="none"/>
        </w:rPr>
        <w:t xml:space="preserve">  </w:t>
      </w:r>
      <w:r/>
    </w:p>
    <w:p>
      <w:pPr>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采购人《质疑</w:t>
      </w:r>
      <w:r>
        <w:rPr>
          <w:rFonts w:hint="eastAsia" w:ascii="宋体" w:hAnsi="宋体"/>
          <w:b/>
          <w:bCs/>
          <w:color w:val="000000"/>
          <w:sz w:val="24"/>
          <w:highlight w:val="none"/>
        </w:rPr>
        <w:t xml:space="preserve">函</w:t>
      </w:r>
      <w:r>
        <w:rPr>
          <w:rFonts w:hint="eastAsia" w:ascii="宋体" w:hAnsi="宋体"/>
          <w:b/>
          <w:bCs/>
          <w:color w:val="000000"/>
          <w:sz w:val="24"/>
          <w:highlight w:val="none"/>
          <w:lang w:val="zh-CN"/>
        </w:rPr>
        <w:t xml:space="preserve">》接收人及联系方式见采购文件第一章。</w:t>
      </w:r>
      <w:r/>
    </w:p>
    <w:p>
      <w:pPr>
        <w:ind w:firstLine="422"/>
        <w:rPr>
          <w:rFonts w:hint="eastAsia" w:ascii="宋体" w:hAnsi="宋体"/>
          <w:b/>
          <w:bCs/>
          <w:color w:val="000000"/>
          <w:sz w:val="24"/>
          <w:highlight w:val="none"/>
          <w:lang w:val="zh-CN"/>
        </w:rPr>
      </w:pPr>
      <w:r>
        <w:rPr>
          <w:rFonts w:hint="eastAsia" w:ascii="宋体" w:hAnsi="宋体"/>
          <w:b/>
          <w:bCs/>
          <w:color w:val="000000"/>
          <w:sz w:val="24"/>
          <w:highlight w:val="none"/>
        </w:rPr>
        <w:t xml:space="preserve">由代理机构负责答复的质疑。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以下情形的质疑不予受理：</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内容不符合《政府采购质疑和投诉办法》第十二条规定的质疑。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超出政府采购法定期限的质疑。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以传真、电子邮件等方式递交的非原件形式的质疑。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未参加采购活动或在采购活动中自身权益未受到损害的供应商所提出的质疑。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供应商组成联合体参加采购活动，联合体中任何一方或多方未按要求签字或盖章、加盖公章的质疑。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1259"/>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p>
    <w:p>
      <w:pPr>
        <w:pStyle w:val="1260"/>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w:t>
      </w:r>
      <w:r>
        <w:rPr>
          <w:rFonts w:hint="eastAsia" w:ascii="宋体" w:hAnsi="宋体"/>
          <w:color w:val="000000"/>
          <w:sz w:val="24"/>
          <w:highlight w:val="none"/>
          <w:lang w:val="zh-CN"/>
        </w:rPr>
        <w:t xml:space="preserve">服务由中小企业承接的，</w:t>
      </w:r>
      <w:r>
        <w:rPr>
          <w:rFonts w:hint="eastAsia" w:ascii="宋体" w:hAnsi="宋体"/>
          <w:color w:val="000000"/>
          <w:sz w:val="24"/>
          <w:highlight w:val="none"/>
        </w:rPr>
        <w:t xml:space="preserve">参与磋商的供应商</w:t>
      </w:r>
      <w:r>
        <w:rPr>
          <w:rFonts w:hint="eastAsia" w:ascii="宋体" w:hAnsi="宋体"/>
          <w:color w:val="000000"/>
          <w:sz w:val="24"/>
          <w:highlight w:val="none"/>
          <w:lang w:val="zh-CN"/>
        </w:rPr>
        <w:t xml:space="preserve">享受中小企业扶持政策：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p>
    <w:p>
      <w:pPr>
        <w:pStyle w:val="1374"/>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1325"/>
        <w:ind w:firstLine="72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color w:val="000000"/>
          <w:highlight w:val="none"/>
        </w:rPr>
      </w:pPr>
      <w:r>
        <w:rPr>
          <w:rFonts w:hint="eastAsia"/>
          <w:color w:val="000000"/>
          <w:highlight w:val="none"/>
        </w:rPr>
      </w:r>
      <w:r/>
    </w:p>
    <w:p>
      <w:pPr>
        <w:pStyle w:val="1325"/>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第三章  合同文本</w:t>
      </w:r>
      <w:r/>
    </w:p>
    <w:p>
      <w:pPr>
        <w:jc w:val="center"/>
        <w:spacing w:before="145" w:after="145"/>
        <w:rPr>
          <w:rFonts w:hint="eastAsia" w:ascii="宋体" w:hAnsi="宋体"/>
          <w:bCs/>
          <w:color w:val="000000"/>
          <w:sz w:val="24"/>
          <w:szCs w:val="21"/>
          <w:highlight w:val="none"/>
        </w:rPr>
        <w:outlineLvl w:val="0"/>
      </w:pPr>
      <w:r>
        <w:rPr>
          <w:rFonts w:hint="eastAsia" w:ascii="宋体" w:hAnsi="宋体"/>
          <w:bCs/>
          <w:color w:val="000000"/>
          <w:sz w:val="24"/>
          <w:szCs w:val="21"/>
          <w:highlight w:val="none"/>
        </w:rPr>
        <w:t xml:space="preserve">以下为本项目的合同条款，合同双方不得对磋商、响应文件内容作实质性修改。</w:t>
      </w:r>
      <w:r/>
    </w:p>
    <w:p>
      <w:pPr>
        <w:pStyle w:val="1374"/>
        <w:ind w:left="0"/>
        <w:rPr>
          <w:rFonts w:hint="eastAsia"/>
          <w:color w:val="000000"/>
          <w:highlight w:val="none"/>
        </w:rPr>
      </w:pPr>
      <w:r>
        <w:rPr>
          <w:rFonts w:hint="eastAsia"/>
          <w:color w:val="000000"/>
          <w:highlight w:val="none"/>
        </w:rPr>
      </w:r>
      <w:r/>
    </w:p>
    <w:p>
      <w:pPr>
        <w:jc w:val="center"/>
        <w:spacing w:before="145" w:after="145"/>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p>
    <w:p>
      <w:pPr>
        <w:jc w:val="left"/>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合同编号：</w:t>
      </w:r>
      <w:r/>
    </w:p>
    <w:p>
      <w:pPr>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p>
    <w:p>
      <w:pPr>
        <w:jc w:val="left"/>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甲方：（</w:t>
      </w:r>
      <w:r>
        <w:rPr>
          <w:rFonts w:hint="eastAsia" w:ascii="宋体" w:hAnsi="宋体" w:cs="Courier New"/>
          <w:color w:val="000000"/>
          <w:sz w:val="24"/>
          <w:szCs w:val="24"/>
          <w:highlight w:val="none"/>
          <w:lang w:eastAsia="zh-CN"/>
        </w:rPr>
        <w:t xml:space="preserve">采购</w:t>
      </w:r>
      <w:r>
        <w:rPr>
          <w:rFonts w:ascii="宋体" w:hAnsi="宋体" w:cs="Courier New"/>
          <w:color w:val="000000"/>
          <w:sz w:val="24"/>
          <w:szCs w:val="24"/>
          <w:highlight w:val="none"/>
        </w:rPr>
        <w:t xml:space="preserve">方）</w:t>
      </w:r>
      <w:r/>
    </w:p>
    <w:p>
      <w:pPr>
        <w:jc w:val="left"/>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乙方：（</w:t>
      </w:r>
      <w:r>
        <w:rPr>
          <w:rFonts w:hint="eastAsia" w:ascii="宋体" w:hAnsi="宋体" w:cs="Courier New"/>
          <w:color w:val="000000"/>
          <w:sz w:val="24"/>
          <w:szCs w:val="24"/>
          <w:highlight w:val="none"/>
          <w:lang w:eastAsia="zh-CN"/>
        </w:rPr>
        <w:t xml:space="preserve">服务</w:t>
      </w:r>
      <w:r>
        <w:rPr>
          <w:rFonts w:ascii="宋体" w:hAnsi="宋体" w:cs="Courier New"/>
          <w:color w:val="000000"/>
          <w:sz w:val="24"/>
          <w:szCs w:val="24"/>
          <w:highlight w:val="none"/>
        </w:rPr>
        <w:t xml:space="preserve">方）</w:t>
      </w:r>
      <w:r/>
    </w:p>
    <w:p>
      <w:pPr>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南京龙成工程咨询有限公司</w:t>
      </w:r>
      <w:r>
        <w:rPr>
          <w:rFonts w:hint="eastAsia" w:ascii="宋体" w:hAnsi="宋体" w:cs="Courier New"/>
          <w:color w:val="000000"/>
          <w:sz w:val="24"/>
          <w:szCs w:val="24"/>
          <w:highlight w:val="none"/>
        </w:rPr>
        <w:t xml:space="preserve">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p>
    <w:p>
      <w:pPr>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标的质量：按磋商文件及响应文件执行。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履行时间（期限）：按磋商文件及响应文件执行。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履行方式：按磋商文件及响应文件执行。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p>
    <w:p>
      <w:pPr>
        <w:pStyle w:val="1295"/>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本合同金额为（大写）：____________________圆（____________________元）人民币。</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乙方应按磋商文件规定的时间向甲方提供服务（包含与服务相关的货物）的有关技术资料。</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除磋商文件接受分包并经甲方同意，乙方可按分包意向协议分包情况外，乙方不得将合同标的分包给他人履行。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p>
    <w:p>
      <w:pPr>
        <w:pStyle w:val="1295"/>
        <w:rPr>
          <w:rFonts w:hint="eastAsia" w:hAnsi="宋体"/>
          <w:color w:val="000000"/>
          <w:sz w:val="24"/>
          <w:szCs w:val="24"/>
          <w:highlight w:val="none"/>
        </w:rPr>
      </w:pPr>
      <w:r>
        <w:rPr>
          <w:rFonts w:hint="eastAsia" w:hAnsi="宋体"/>
          <w:color w:val="000000"/>
          <w:sz w:val="24"/>
          <w:szCs w:val="24"/>
          <w:highlight w:val="none"/>
        </w:rPr>
        <w:t xml:space="preserve">8.1 合同款项的支付方式及时间</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每季度末支付合同价款中公路巡查及日常养护费用的</w:t>
      </w:r>
      <w:r>
        <w:rPr>
          <w:rFonts w:hint="eastAsia" w:ascii="宋体" w:hAnsi="宋体" w:cs="Courier New"/>
          <w:color w:val="000000"/>
          <w:sz w:val="24"/>
          <w:szCs w:val="24"/>
          <w:highlight w:val="none"/>
          <w:lang w:val="en-US" w:eastAsia="zh-CN"/>
        </w:rPr>
        <w:t xml:space="preserve">2</w:t>
      </w:r>
      <w:r>
        <w:rPr>
          <w:rFonts w:hint="eastAsia" w:ascii="宋体" w:hAnsi="宋体" w:cs="Courier New"/>
          <w:color w:val="000000"/>
          <w:sz w:val="24"/>
          <w:szCs w:val="24"/>
          <w:highlight w:val="none"/>
        </w:rPr>
        <w:t xml:space="preserve">0%；完成审计后（结合建设单位的考核标准，扣除考核扣减费用），支付至审计价款的90%；第二年支付余款。</w:t>
      </w:r>
      <w:r/>
    </w:p>
    <w:p>
      <w:pPr>
        <w:pStyle w:val="1295"/>
        <w:rPr>
          <w:rFonts w:hint="eastAsia" w:hAnsi="宋体"/>
          <w:color w:val="000000"/>
          <w:sz w:val="24"/>
          <w:szCs w:val="24"/>
          <w:highlight w:val="none"/>
        </w:rPr>
      </w:pPr>
      <w:r>
        <w:rPr>
          <w:rFonts w:hint="eastAsia" w:hAnsi="宋体"/>
          <w:color w:val="000000"/>
          <w:sz w:val="24"/>
          <w:szCs w:val="24"/>
          <w:highlight w:val="none"/>
        </w:rPr>
        <w:t xml:space="preserve">8.1.2 满足合同约定支付条件的，甲方收到乙方发票后10个工作日内，将资金支付到合同约定的乙方账户。 </w:t>
      </w:r>
      <w:r/>
    </w:p>
    <w:p>
      <w:pPr>
        <w:pStyle w:val="1295"/>
        <w:rPr>
          <w:rFonts w:hint="eastAsia" w:hAnsi="宋体"/>
          <w:color w:val="000000"/>
          <w:sz w:val="24"/>
          <w:szCs w:val="24"/>
          <w:highlight w:val="none"/>
        </w:rPr>
      </w:pPr>
      <w:r>
        <w:rPr>
          <w:rFonts w:hint="eastAsia" w:hAnsi="宋体"/>
          <w:color w:val="000000"/>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p>
    <w:p>
      <w:pPr>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5% </w:t>
      </w:r>
      <w:r>
        <w:rPr>
          <w:rFonts w:hint="eastAsia" w:ascii="宋体" w:hAnsi="宋体" w:cs="Courier New"/>
          <w:color w:val="000000"/>
          <w:sz w:val="24"/>
          <w:szCs w:val="24"/>
          <w:highlight w:val="none"/>
        </w:rPr>
        <w:t xml:space="preserve">的违约金。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u w:val="single"/>
        </w:rPr>
        <w:t xml:space="preserve">5‰</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u w:val="single"/>
        </w:rPr>
        <w:t xml:space="preserve">5‰</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u w:val="single"/>
        </w:rPr>
        <w:t xml:space="preserve">5％</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乙方所提供服务的标准不符合合同规定及磋商文件规定标准的，甲方有权拒绝接受服务，并可单方面解除合同。</w:t>
      </w:r>
      <w:r/>
    </w:p>
    <w:p>
      <w:pPr>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十四、合同生效及其它</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p>
    <w:p>
      <w:pPr>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p>
    <w:p>
      <w:pPr>
        <w:pStyle w:val="1295"/>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p>
    <w:p>
      <w:pPr>
        <w:pStyle w:val="1295"/>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甲方：（公章）                       乙方：（公章） </w:t>
      </w:r>
      <w:r/>
    </w:p>
    <w:p>
      <w:pPr>
        <w:pStyle w:val="1295"/>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p>
    <w:p>
      <w:pPr>
        <w:pStyle w:val="1295"/>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p>
    <w:p>
      <w:pPr>
        <w:pStyle w:val="1295"/>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p>
    <w:p>
      <w:pPr>
        <w:pStyle w:val="1295"/>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p>
    <w:p>
      <w:pPr>
        <w:pStyle w:val="1295"/>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      年    月   日</w:t>
      </w:r>
      <w:r/>
    </w:p>
    <w:p>
      <w:pPr>
        <w:pStyle w:val="1295"/>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1295"/>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1295"/>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1295"/>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1295"/>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1295"/>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1295"/>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jc w:val="center"/>
        <w:spacing w:before="145" w:after="145"/>
        <w:rPr>
          <w:rFonts w:hint="eastAsia" w:ascii="宋体" w:hAnsi="宋体"/>
          <w:b/>
          <w:color w:val="000000"/>
          <w:sz w:val="30"/>
          <w:szCs w:val="21"/>
          <w:highlight w:val="none"/>
        </w:rPr>
        <w:outlineLvl w:val="0"/>
      </w:pPr>
      <w:r>
        <w:rPr>
          <w:rFonts w:hint="eastAsia" w:ascii="宋体" w:hAnsi="宋体"/>
          <w:b/>
          <w:color w:val="000000"/>
          <w:sz w:val="30"/>
          <w:szCs w:val="21"/>
          <w:highlight w:val="none"/>
        </w:rPr>
        <w:t xml:space="preserve">《*******合同》补充协议（合同附件）</w:t>
      </w:r>
      <w:r/>
    </w:p>
    <w:p>
      <w:pPr>
        <w:pStyle w:val="1295"/>
        <w:jc w:val="left"/>
        <w:spacing w:before="120" w:after="120"/>
        <w:rPr>
          <w:rFonts w:hAnsi="宋体"/>
          <w:color w:val="000000"/>
          <w:sz w:val="24"/>
          <w:szCs w:val="24"/>
          <w:highlight w:val="none"/>
        </w:rPr>
      </w:pPr>
      <w:r>
        <w:rPr>
          <w:rFonts w:hint="eastAsia" w:hAnsi="宋体"/>
          <w:color w:val="000000"/>
          <w:sz w:val="24"/>
          <w:szCs w:val="24"/>
          <w:highlight w:val="none"/>
        </w:rPr>
        <w:t xml:space="preserve">    如遇磋商文件及合同未约定事项，双方可友好协商签订补充协议。</w:t>
      </w:r>
      <w:bookmarkEnd w:id="0"/>
      <w:r/>
      <w:bookmarkEnd w:id="1"/>
      <w:r/>
      <w:bookmarkEnd w:id="2"/>
      <w:r/>
      <w:bookmarkEnd w:id="3"/>
      <w:r/>
      <w:bookmarkEnd w:id="4"/>
      <w:r/>
      <w:bookmarkEnd w:id="5"/>
      <w:r/>
      <w:r/>
    </w:p>
    <w:p>
      <w:pPr>
        <w:jc w:val="center"/>
        <w:spacing w:line="360" w:lineRule="auto"/>
        <w:shd w:val="clear" w:color="auto" w:fill="ffffff"/>
        <w:widowControl/>
        <w:rPr>
          <w:rFonts w:hint="eastAsia" w:ascii="宋体" w:hAnsi="宋体"/>
          <w:b/>
          <w:color w:val="000000"/>
          <w:sz w:val="52"/>
          <w:szCs w:val="52"/>
          <w:highlight w:val="none"/>
          <w:lang w:eastAsia="zh-CN"/>
        </w:rPr>
      </w:pPr>
      <w:r/>
      <w:bookmarkStart w:id="121" w:name="_Toc20823346"/>
      <w:r/>
      <w:bookmarkStart w:id="122" w:name="_Toc120614244"/>
      <w:r/>
      <w:bookmarkStart w:id="123" w:name="_Toc16938590"/>
      <w:r/>
      <w:bookmarkStart w:id="124" w:name="_Hlt16619350"/>
      <w:r/>
      <w:bookmarkStart w:id="125" w:name="_Toc462564139"/>
      <w:r/>
      <w:bookmarkStart w:id="126" w:name="_Toc479757211"/>
      <w:r/>
      <w:r/>
    </w:p>
    <w:p>
      <w:pPr>
        <w:jc w:val="center"/>
        <w:spacing w:line="360" w:lineRule="auto"/>
        <w:shd w:val="clear" w:color="auto" w:fill="ffffff"/>
        <w:widowControl/>
        <w:rPr>
          <w:rFonts w:hint="eastAsia" w:ascii="宋体" w:hAnsi="宋体"/>
          <w:b/>
          <w:color w:val="000000"/>
          <w:sz w:val="52"/>
          <w:szCs w:val="52"/>
          <w:highlight w:val="none"/>
          <w:lang w:eastAsia="zh-CN"/>
        </w:rPr>
      </w:pPr>
      <w:r>
        <w:rPr>
          <w:rFonts w:hint="eastAsia" w:ascii="宋体" w:hAnsi="宋体"/>
          <w:b/>
          <w:color w:val="000000"/>
          <w:sz w:val="52"/>
          <w:szCs w:val="52"/>
          <w:highlight w:val="none"/>
          <w:lang w:eastAsia="zh-CN"/>
        </w:rPr>
      </w:r>
      <w:bookmarkEnd w:id="121"/>
      <w:r/>
      <w:bookmarkEnd w:id="122"/>
      <w:r/>
      <w:bookmarkEnd w:id="123"/>
      <w:r/>
      <w:bookmarkEnd w:id="124"/>
      <w:r/>
      <w:r/>
    </w:p>
    <w:p>
      <w:pPr>
        <w:pStyle w:val="1391"/>
        <w:jc w:val="center"/>
        <w:spacing w:before="120" w:after="120" w:line="0" w:lineRule="atLeast"/>
        <w:rPr>
          <w:rFonts w:hint="eastAsia" w:ascii="方正小标宋简体" w:hAnsi="方正小标宋简体" w:eastAsia="方正小标宋简体" w:cs="方正小标宋简体"/>
          <w:color w:val="000000"/>
          <w:sz w:val="36"/>
          <w:szCs w:val="36"/>
          <w:highlight w:val="none"/>
        </w:rPr>
      </w:pPr>
      <w:r/>
      <w:bookmarkStart w:id="127" w:name="_Toc49090575"/>
      <w:r/>
      <w:bookmarkStart w:id="128" w:name="_Toc26554093"/>
      <w:r>
        <w:rPr>
          <w:rFonts w:hint="eastAsia" w:ascii="方正小标宋简体" w:hAnsi="方正小标宋简体" w:eastAsia="方正小标宋简体" w:cs="方正小标宋简体"/>
          <w:color w:val="000000"/>
          <w:sz w:val="36"/>
          <w:szCs w:val="36"/>
          <w:highlight w:val="none"/>
        </w:rPr>
        <w:t xml:space="preserve">第四章  采购需求</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olor w:val="000000"/>
          <w:sz w:val="24"/>
          <w:szCs w:val="24"/>
          <w:highlight w:val="none"/>
        </w:rPr>
        <w:t xml:space="preserve">服务类项目。</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竹镇镇镇域范围内所有农村道路（包括村道61.16公里、乡道167.4公里）的道路日常巡查、日常养护和局部小修保养，及23座桥梁的日常巡查、日常养护和局部小修保养；包括但不限于路面保洁、绿化修剪、路肩及边坡维护、边沟清理、桥涵及沿线设施的维护等工作。</w:t>
      </w:r>
      <w:r/>
    </w:p>
    <w:p>
      <w:pPr>
        <w:ind w:firstLine="480"/>
        <w:spacing w:line="264" w:lineRule="auto"/>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lang w:eastAsia="zh-CN"/>
        </w:rPr>
        <w:t xml:space="preserve">：详见附件</w:t>
      </w:r>
      <w:r/>
    </w:p>
    <w:p>
      <w:pPr>
        <w:ind w:firstLine="482"/>
        <w:spacing w:line="264"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四、总体说明</w:t>
      </w:r>
      <w:r/>
    </w:p>
    <w:p>
      <w:pPr>
        <w:ind w:firstLine="482"/>
        <w:spacing w:line="264"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1．投标报价说明</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 项目清单中的每一子目须填入单价或价格，且只允许有一个报价。</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 除非合同另有规定，项目清单中有标价的单价和总额价均已包括了为实施和完成合同项目所需的劳务、材料、机械、质检（自检）、安装、缺陷修复、管理、保险、税费、利润和安全生产费等费用，以及合同明示或暗示的所有责任、义务和一般风险。</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 项目清单第300章“日常养护”项目按公路等级由投标人自行报价，合同实施过程中按实际养护里程计量支付。</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 项目清单中投标人没有填入单价或价格的子目，其费用视为己分摊在项目清单中其他相关子目的单价或价格之中。承包人必须按发包人指令完成项目清单中未填入单价或价格的子目，但不能得到结算与支付。</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 符合合同条款规定的全部费用应认为已被计入有标价的项目清单所列各子目之中，未列子目不予计量的工作，其费用应视为已分摊在本合同工程的有关子目的单价或总额价之中。</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1.6 承包人用于本合同工程的各类装备的提供、运输、维护、拆卸、拼装等支付的费用，已包括在项目清单的单价与总额价之中。</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1.7 项目清单中各项金额均以人民币（元）结算。</w:t>
      </w:r>
      <w:r/>
    </w:p>
    <w:p>
      <w:pPr>
        <w:ind w:firstLine="480"/>
        <w:spacing w:line="264"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1.8安全生产费金额为35827.06元，为不可竞争费。</w:t>
      </w:r>
      <w:r/>
    </w:p>
    <w:p>
      <w:pPr>
        <w:ind w:firstLine="482"/>
        <w:spacing w:line="264"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2．计日工说明</w:t>
      </w:r>
      <w:r/>
    </w:p>
    <w:p>
      <w:pPr>
        <w:ind w:firstLine="440"/>
        <w:spacing w:line="264" w:lineRule="auto"/>
        <w:rPr>
          <w:rFonts w:hint="eastAsia" w:ascii="宋体" w:hAnsi="宋体" w:cs="宋体"/>
          <w:color w:val="000000"/>
          <w:sz w:val="24"/>
          <w:szCs w:val="24"/>
          <w:highlight w:val="none"/>
          <w:lang w:val="en-US" w:eastAsia="zh-CN"/>
        </w:rPr>
      </w:pPr>
      <w:r>
        <w:rPr>
          <w:rFonts w:hint="eastAsia" w:ascii="宋体" w:hAnsi="宋体" w:eastAsia="宋体" w:cs="宋体"/>
          <w:i w:val="0"/>
          <w:color w:val="000000"/>
          <w:sz w:val="22"/>
          <w:szCs w:val="22"/>
          <w:u w:val="none"/>
          <w:lang w:val="en-US" w:eastAsia="zh-CN" w:bidi="ar"/>
        </w:rPr>
        <w:t xml:space="preserve"> </w:t>
      </w:r>
      <w:r>
        <w:rPr>
          <w:rFonts w:hint="eastAsia" w:ascii="宋体" w:hAnsi="宋体" w:cs="宋体"/>
          <w:color w:val="000000"/>
          <w:sz w:val="24"/>
          <w:szCs w:val="24"/>
          <w:highlight w:val="none"/>
          <w:lang w:val="en-US" w:eastAsia="zh-CN"/>
        </w:rPr>
        <w:t xml:space="preserve">   2.1 总则</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（1）未经发包人书面指令，任何工程不得按计日工施工；接到发包人按计日工施工的书面指令，承包人也不得拒绝。</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投标人应在计日工单价表中填列计日工子目的基本单价或租价，该基本单价或租价适用于发包人指令的任何数量的计日工的结算与支付。计日工的劳务、材料和施工机械由招标人（或发包人）列出正常的估计数量，投标人报出单价，计算出计日工总额后列入工程量清单汇总表中并进入评标价。</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（3）计日工不调价。</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 计日工劳务</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l）在计算应付给承包人的计日工工资时，工时应从工人到达施工现场，并开始从事指定的工作算起，到返回原出发地点为止，扣去用餐和休息的时间。只有直接从事指定的工作，且能胜任该工作的工人才能计工，随同工人—起做工的班长应计算在内，但不包括领工（工长）和其他质检管理人员。</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（2）承包人可以得到用于计日工劳务的全部工时的支付，此支付按承包人填报的“计日工劳务单价表”所列单价计算，该单价应包括基本单价及承包人的管理费、税费、利润等所有附加费，说明如下：</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a.劳务基本单价包括：承包人劳务的全部直接费用，如：工资、加班费、津贴、福利费及劳动保护费等。</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b.承包人的利润、管理、质检、保险、税费；易耗品的使用、水电及照明费，工作台、脚手架、临时设施费，手动机具与工具的使用及维修，以及上述各项伴随而来的费用。</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 计日工材料</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承包人可以得到计日工使用的材料费用（上述2.2款已计入劳务费内的材料费用除外）的支付，此费用按承包人“计日工材料单价表”中所填报的单价计算，该单价应包括基本单价及承包人的管理费、税费、利润等所有附加费，说明如下：</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a．材料基本单价按供货价加运杂费（到达承包人现场仓库）、保险费、仓库管理费以及运输损耗等计算;</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b. 承包人的利润、管理、质检、保险、税费及其他附加费;</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c．从现场运至使用地点的人工费和施工机械使用费不包括在上述基本单价内。</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 计日工施工机械</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承包人可以得到用于计日工作业的施工机械费用的支付，该费用按承包人填报的“计日工施工机械单价表”中的租价计算。该租价应包括施工机械的折旧、利息、维修、保养、零配件、油燃料、保险和其他消耗品的费用以及全部有关使用这些机械的管理费、税费、利润和司机与助手的劳务费等费用。</w:t>
      </w:r>
      <w:r/>
    </w:p>
    <w:p>
      <w:pPr>
        <w:ind w:firstLine="48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在计日工作业中，承包人计算所用的施工机械费用时，应按实际工作小时支付。除非经发包人的同意，计算的工作小时才能将施工机械从现场某处运到发包人指令的计日工作业的另一现场往返运送时间包括在内。</w:t>
      </w:r>
      <w:r/>
    </w:p>
    <w:p>
      <w:pPr>
        <w:ind w:firstLine="480"/>
        <w:spacing w:line="264" w:lineRule="auto"/>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lang w:eastAsia="zh-CN"/>
        </w:rPr>
        <w:t xml:space="preserve">五</w:t>
      </w:r>
      <w:r>
        <w:rPr>
          <w:rFonts w:hint="eastAsia" w:ascii="黑体" w:hAnsi="黑体" w:eastAsia="黑体" w:cs="黑体"/>
          <w:color w:val="000000"/>
          <w:sz w:val="24"/>
          <w:szCs w:val="24"/>
          <w:highlight w:val="none"/>
        </w:rPr>
        <w:t xml:space="preserve">、拟采购标的商务要求</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（一）商务要求</w:t>
      </w:r>
      <w:r/>
    </w:p>
    <w:p>
      <w:pPr>
        <w:ind w:firstLine="482"/>
        <w:spacing w:line="264"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报价要求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2"/>
        <w:spacing w:line="264"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2.工作内容</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1、巡查、日常养护频率</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①道路、桥梁日常巡查：每周全覆盖一次，全年不低于52次。②路肩、边坡整修：每年至少两次。③绿化修剪：每年至少四次。④清理边沟、排水截水沟：每年至少四次。⑤路肩、边坡割草：每年不低于八次。⑥路面保洁：每日一次全覆盖。⑦路侧树木（绿化）刷白：每年至少一次。⑧桥梁及桥栏杆刷白：每年至少一次。⑨伸缩缝、泄水孔清理：每周至少一次。⑩涵管疏通：每月至少一次。按月整理巡查及养护内业台账资料（含影像对比资料）</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2、公路路肩边坡清理</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(1)路肩硬化后的养护要求同相应类型的路面要求。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路肩无车辙、坑洼、隆起、沉陷、缺口、积水,横坡适度,边缘顺适,表面平整坚实、整洁,无白色污染与路面接茬平顺。当土路肩受损修复后，其外观应恢复至损坏前状态，并与周围未损坏土路肩外观保持一致，不得积水。</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 边坡的坡面应保持平顺、坚实无冲沟，稳定、坚固、无松散，坡度应符合设计规定，无垃圾及白色污染。</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3、清理边沟</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清理边沟杂草、垃圾、淤积等，使边沟排水畅通。</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4、路面、桥面机械化保洁</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其他城市化道路的路面、桥面应实行机械化保洁。机械清扫路面、桥面为主并辅助人工保洁，机械清扫全年不少于219天。随时保证路面、桥面清洁、桥梁伸缩缝、泄水孔的清理。一般路段人工辅助不大于3km/人。</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5、百米桩更换</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对百米桩的缺损须及时更换。</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6、里程碑白油漆刷白</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每年一次，里程碑白油漆刷白。</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7、安防设施日常维护</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对倾斜或歪倒的安防设施要及时扶正埋实，对污损的护栏及时清理更新</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8、绿化管护（每一季度修剪一次）</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（1）每侧一排乔木：工作内容：修剪、抹芽、扶正、路树刷白、治虫、拉野藤，周边杂草。</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（2）单株灌木：工作内容：修剪成形、扶正、治虫、拉野藤、周边杂草。 </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（3）色块灌木：工作内容：修剪成形、扶正、治虫、除杂草、拉野藤。</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（4）路肩草坪：工作内容：修剪、拔杂草，3-11月份每月至少修剪两次，保证草坪不高于12cm。 </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（5）公路用地内（指公路两侧）除杂草：无草坪的路肩宽+边坡宽（边坡即使有草坪，也放在此项）+平台宽（平台即使有草坪，也放在此项）。</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（6）桥头、路基用地宽度范围内道口高草清理</w:t>
      </w:r>
      <w:r>
        <w:rPr>
          <w:rFonts w:hint="eastAsia" w:ascii="宋体" w:hAnsi="宋体" w:cs="宋体"/>
          <w:color w:val="000000"/>
          <w:sz w:val="24"/>
          <w:szCs w:val="24"/>
          <w:highlight w:val="none"/>
        </w:rPr>
        <w:t xml:space="preserve">。</w:t>
      </w:r>
      <w:r/>
    </w:p>
    <w:p>
      <w:pPr>
        <w:ind w:firstLine="482"/>
        <w:spacing w:line="264" w:lineRule="auto"/>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4.项目考核</w:t>
      </w:r>
      <w:r/>
    </w:p>
    <w:p>
      <w:pPr>
        <w:ind w:firstLine="480"/>
        <w:spacing w:line="264" w:lineRule="auto"/>
        <w:rPr>
          <w:rFonts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服务内容要按照《南京市农村公路养护标准》执行同时要符合区及以上主管部门考核要求、符合竹镇镇农路岗考核评分标准。采购人有权不定期对服务内容进行抽查并将检查结果纳入季度考核（附件1.考核评分表），项目期结束将每季度考核情况反馈审计单位，由审计单位根据考核结果核减项目内道路巡查及日常养护两项费用（即：季度平均得分/100*道路巡查及日常养护两项总金额=此两项结算金额）。</w:t>
      </w:r>
      <w:r/>
    </w:p>
    <w:p>
      <w:pPr>
        <w:ind w:firstLine="482"/>
        <w:spacing w:line="264"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5</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付款条件</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维护期为1年，每季度末支付合同价款中日常养护费用的20%；审计结束后（结合采购单位的考核标准，扣除考核扣减费用），支付审计价款的90%；第二年支付审计价款的10%。</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成交</w:t>
      </w:r>
      <w:r>
        <w:rPr>
          <w:rFonts w:hint="eastAsia" w:ascii="宋体" w:hAnsi="宋体" w:cs="宋体"/>
          <w:color w:val="000000"/>
          <w:sz w:val="24"/>
          <w:szCs w:val="24"/>
          <w:highlight w:val="none"/>
        </w:rPr>
        <w:t xml:space="preserve">后</w:t>
      </w:r>
      <w:r>
        <w:rPr>
          <w:rFonts w:hint="eastAsia" w:ascii="宋体" w:hAnsi="宋体" w:cs="宋体"/>
          <w:color w:val="000000"/>
          <w:sz w:val="24"/>
          <w:szCs w:val="24"/>
          <w:highlight w:val="none"/>
        </w:rPr>
        <w:t xml:space="preserve">须</w:t>
      </w:r>
      <w:r>
        <w:rPr>
          <w:rFonts w:hint="eastAsia" w:ascii="宋体" w:hAnsi="宋体" w:cs="宋体"/>
          <w:color w:val="000000"/>
          <w:sz w:val="24"/>
          <w:szCs w:val="24"/>
          <w:highlight w:val="none"/>
        </w:rPr>
        <w:t xml:space="preserve">提供2</w:t>
      </w:r>
      <w:r>
        <w:rPr>
          <w:rFonts w:hint="eastAsia" w:ascii="宋体" w:hAnsi="宋体" w:cs="宋体"/>
          <w:color w:val="000000"/>
          <w:sz w:val="24"/>
          <w:szCs w:val="24"/>
          <w:highlight w:val="none"/>
        </w:rPr>
        <w:t xml:space="preserve">份</w:t>
      </w:r>
      <w:r>
        <w:rPr>
          <w:rFonts w:hint="eastAsia" w:ascii="宋体" w:hAnsi="宋体" w:cs="宋体"/>
          <w:color w:val="000000"/>
          <w:sz w:val="24"/>
          <w:szCs w:val="24"/>
          <w:highlight w:val="none"/>
        </w:rPr>
        <w:t xml:space="preserve">盖章</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rPr>
        <w:t xml:space="preserve">响应</w:t>
      </w:r>
      <w:r>
        <w:rPr>
          <w:rFonts w:hint="eastAsia"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jc w:val="center"/>
        <w:keepNext/>
        <w:rPr>
          <w:rFonts w:hint="eastAsia" w:ascii="黑体" w:hAnsi="Times New Roman" w:eastAsia="黑体"/>
          <w:color w:val="000000"/>
          <w:sz w:val="44"/>
          <w:szCs w:val="44"/>
          <w:highlight w:val="none"/>
        </w:rPr>
        <w:outlineLvl w:val="0"/>
      </w:pPr>
      <w:r/>
      <w:bookmarkStart w:id="129" w:name="_Toc120614281"/>
      <w:r>
        <w:rPr>
          <w:rFonts w:hint="eastAsia" w:ascii="黑体" w:hAnsi="Times New Roman" w:eastAsia="黑体"/>
          <w:color w:val="000000"/>
          <w:sz w:val="44"/>
          <w:szCs w:val="44"/>
          <w:highlight w:val="none"/>
        </w:rPr>
        <w:t xml:space="preserve">第五章  评审方法与评审标准</w:t>
      </w:r>
      <w:r/>
    </w:p>
    <w:p>
      <w:pPr>
        <w:ind w:firstLine="420"/>
        <w:spacing w:line="264"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一、评审方法</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采用综合评分法，对满足磋商文件全部实质性要求的响应文件按评审因素的量化指标评审总分对供应商进行排序。</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经磋商确定最终采购需求和提交最后报价的供应商后，磋商小组成员独立对提交最后报价的供应商的响应文件和最后报价进行综合评分。</w:t>
      </w:r>
      <w:r/>
    </w:p>
    <w:p>
      <w:pPr>
        <w:ind w:firstLine="480"/>
        <w:spacing w:line="264"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磋商小组按照评审总分由高到低顺序推荐</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成交候选供应商</w:t>
      </w:r>
      <w:r>
        <w:rPr>
          <w:rFonts w:hint="eastAsia" w:ascii="宋体" w:hAnsi="宋体" w:cs="宋体"/>
          <w:color w:val="000000"/>
          <w:sz w:val="24"/>
          <w:szCs w:val="24"/>
          <w:highlight w:val="none"/>
          <w:lang w:eastAsia="zh-CN"/>
        </w:rPr>
        <w:t xml:space="preserve">。</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1.本项目专门面向中小企业采购，不执行价格扣除政策。</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三、评审标准</w:t>
      </w:r>
      <w:r/>
    </w:p>
    <w:tbl>
      <w:tblPr>
        <w:tblStyle w:val="1086"/>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W w:w="519" w:type="dxa"/>
            <w:vAlign w:val="center"/>
            <w:textDirection w:val="lrTb"/>
            <w:noWrap w:val="false"/>
          </w:tcPr>
          <w:p>
            <w:pPr>
              <w:jc w:val="center"/>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序号</w:t>
            </w:r>
            <w:r/>
          </w:p>
        </w:tc>
        <w:tc>
          <w:tcPr>
            <w:tcW w:w="1179" w:type="dxa"/>
            <w:vAlign w:val="center"/>
            <w:textDirection w:val="lrTb"/>
            <w:noWrap w:val="false"/>
          </w:tcPr>
          <w:p>
            <w:pPr>
              <w:jc w:val="center"/>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评审因素</w:t>
            </w:r>
            <w:r/>
          </w:p>
        </w:tc>
        <w:tc>
          <w:tcPr>
            <w:tcW w:w="6425" w:type="dxa"/>
            <w:vAlign w:val="center"/>
            <w:textDirection w:val="lrTb"/>
            <w:noWrap w:val="false"/>
          </w:tcPr>
          <w:p>
            <w:pPr>
              <w:jc w:val="center"/>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评审细则</w:t>
            </w:r>
            <w:r/>
          </w:p>
        </w:tc>
        <w:tc>
          <w:tcPr>
            <w:tcW w:w="637" w:type="dxa"/>
            <w:vAlign w:val="center"/>
            <w:textDirection w:val="lrTb"/>
            <w:noWrap w:val="false"/>
          </w:tcPr>
          <w:p>
            <w:pPr>
              <w:jc w:val="center"/>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分值</w:t>
            </w:r>
            <w:r/>
          </w:p>
        </w:tc>
        <w:tc>
          <w:tcPr>
            <w:tcW w:w="852" w:type="dxa"/>
            <w:vAlign w:val="center"/>
            <w:textDirection w:val="lrTb"/>
            <w:noWrap w:val="false"/>
          </w:tcPr>
          <w:p>
            <w:pPr>
              <w:jc w:val="center"/>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类型</w:t>
            </w:r>
            <w:r/>
          </w:p>
        </w:tc>
      </w:tr>
      <w:tr>
        <w:trPr>
          <w:jc w:val="center"/>
          <w:trHeight w:val="460"/>
        </w:trPr>
        <w:tc>
          <w:tcPr>
            <w:gridSpan w:val="5"/>
            <w:tcW w:w="9612" w:type="dxa"/>
            <w:vAlign w:val="top"/>
            <w:textDirection w:val="lrTb"/>
            <w:noWrap w:val="false"/>
          </w:tcPr>
          <w:p>
            <w:pPr>
              <w:ind w:left="114"/>
              <w:spacing w:before="122"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1.</w:t>
            </w:r>
            <w:r>
              <w:rPr>
                <w:rFonts w:ascii="宋体" w:hAnsi="宋体" w:cs="宋体"/>
                <w:b/>
                <w:bCs/>
                <w:color w:val="000000"/>
                <w:spacing w:val="-3"/>
                <w:szCs w:val="21"/>
                <w:highlight w:val="none"/>
              </w:rPr>
              <w:t xml:space="preserve">价</w:t>
            </w:r>
            <w:r>
              <w:rPr>
                <w:rFonts w:ascii="宋体" w:hAnsi="宋体" w:cs="宋体"/>
                <w:b/>
                <w:bCs/>
                <w:color w:val="000000"/>
                <w:spacing w:val="-2"/>
                <w:szCs w:val="21"/>
                <w:highlight w:val="none"/>
              </w:rPr>
              <w:t xml:space="preserve">格</w:t>
            </w:r>
            <w:r/>
          </w:p>
        </w:tc>
      </w:tr>
      <w:tr>
        <w:trPr>
          <w:jc w:val="center"/>
          <w:trHeight w:val="1030"/>
        </w:trPr>
        <w:tc>
          <w:tcPr>
            <w:tcW w:w="519" w:type="dxa"/>
            <w:vAlign w:val="center"/>
            <w:textDirection w:val="lrTb"/>
            <w:noWrap w:val="false"/>
          </w:tcPr>
          <w:p>
            <w:pPr>
              <w:jc w:val="center"/>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1</w:t>
            </w:r>
            <w:r>
              <w:rPr>
                <w:rFonts w:ascii="宋体" w:hAnsi="宋体" w:cs="宋体"/>
                <w:color w:val="000000"/>
                <w:spacing w:val="-5"/>
                <w:szCs w:val="21"/>
                <w:highlight w:val="none"/>
              </w:rPr>
              <w:t xml:space="preserve">.1</w:t>
            </w:r>
            <w:r/>
          </w:p>
        </w:tc>
        <w:tc>
          <w:tcPr>
            <w:tcW w:w="1179" w:type="dxa"/>
            <w:vAlign w:val="center"/>
            <w:textDirection w:val="lrTb"/>
            <w:noWrap w:val="false"/>
          </w:tcPr>
          <w:p>
            <w:pPr>
              <w:jc w:val="left"/>
              <w:spacing w:before="68" w:line="264" w:lineRule="auto"/>
              <w:rPr>
                <w:rFonts w:ascii="宋体" w:hAnsi="宋体" w:cs="宋体"/>
                <w:color w:val="000000"/>
                <w:szCs w:val="21"/>
                <w:highlight w:val="none"/>
              </w:rPr>
            </w:pPr>
            <w:r>
              <w:rPr>
                <w:rFonts w:ascii="宋体" w:hAnsi="宋体" w:cs="宋体"/>
                <w:color w:val="000000"/>
                <w:spacing w:val="-2"/>
                <w:szCs w:val="21"/>
                <w:highlight w:val="none"/>
              </w:rPr>
              <w:t xml:space="preserve">价格分</w:t>
            </w:r>
            <w:r/>
          </w:p>
        </w:tc>
        <w:tc>
          <w:tcPr>
            <w:tcW w:w="6425" w:type="dxa"/>
            <w:vAlign w:val="center"/>
            <w:textDirection w:val="lrTb"/>
            <w:noWrap w:val="false"/>
          </w:tcPr>
          <w:p>
            <w:pPr>
              <w:jc w:val="left"/>
              <w:spacing w:line="264" w:lineRule="auto"/>
              <w:rPr>
                <w:rFonts w:ascii="宋体" w:hAnsi="宋体" w:cs="宋体"/>
                <w:color w:val="000000"/>
                <w:szCs w:val="21"/>
                <w:highlight w:val="none"/>
              </w:rPr>
            </w:pPr>
            <w:r>
              <w:rPr>
                <w:rFonts w:ascii="宋体" w:hAnsi="宋体" w:cs="宋体"/>
                <w:color w:val="000000"/>
                <w:spacing w:val="1"/>
                <w:szCs w:val="21"/>
                <w:highlight w:val="none"/>
              </w:rPr>
              <w:t xml:space="preserve">采用低价优先</w:t>
            </w:r>
            <w:r>
              <w:rPr>
                <w:rFonts w:ascii="宋体" w:hAnsi="宋体" w:cs="宋体"/>
                <w:color w:val="000000"/>
                <w:szCs w:val="21"/>
                <w:highlight w:val="none"/>
              </w:rPr>
              <w:t xml:space="preserve">法计算</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即满足</w:t>
            </w:r>
            <w:r>
              <w:rPr>
                <w:rFonts w:hint="eastAsia" w:ascii="宋体" w:hAnsi="宋体" w:cs="宋体"/>
                <w:color w:val="000000"/>
                <w:szCs w:val="21"/>
                <w:highlight w:val="none"/>
              </w:rPr>
              <w:t xml:space="preserve">采购</w:t>
            </w:r>
            <w:r>
              <w:rPr>
                <w:rFonts w:ascii="宋体" w:hAnsi="宋体" w:cs="宋体"/>
                <w:color w:val="000000"/>
                <w:szCs w:val="21"/>
                <w:highlight w:val="none"/>
              </w:rPr>
              <w:t xml:space="preserve">文件要求且</w:t>
            </w:r>
            <w:r>
              <w:rPr>
                <w:rFonts w:hint="eastAsia" w:ascii="宋体" w:hAnsi="宋体" w:cs="宋体"/>
                <w:color w:val="000000"/>
                <w:szCs w:val="21"/>
                <w:highlight w:val="none"/>
              </w:rPr>
              <w:t xml:space="preserve">最终报价</w:t>
            </w:r>
            <w:r>
              <w:rPr>
                <w:rFonts w:ascii="宋体" w:hAnsi="宋体" w:cs="宋体"/>
                <w:color w:val="000000"/>
                <w:szCs w:val="21"/>
                <w:highlight w:val="none"/>
              </w:rPr>
              <w:t xml:space="preserve">最低的</w:t>
            </w:r>
            <w:r>
              <w:rPr>
                <w:rFonts w:hint="eastAsia" w:ascii="宋体" w:hAnsi="宋体" w:cs="宋体"/>
                <w:color w:val="000000"/>
                <w:szCs w:val="21"/>
                <w:highlight w:val="none"/>
              </w:rPr>
              <w:t xml:space="preserve">供应商</w:t>
            </w:r>
            <w:r>
              <w:rPr>
                <w:rFonts w:ascii="宋体" w:hAnsi="宋体" w:cs="宋体"/>
                <w:color w:val="000000"/>
                <w:spacing w:val="1"/>
                <w:szCs w:val="21"/>
                <w:highlight w:val="none"/>
              </w:rPr>
              <w:t xml:space="preserve">报价为评标基准</w:t>
            </w:r>
            <w:r>
              <w:rPr>
                <w:rFonts w:ascii="宋体" w:hAnsi="宋体" w:cs="宋体"/>
                <w:color w:val="000000"/>
                <w:szCs w:val="21"/>
                <w:highlight w:val="none"/>
              </w:rPr>
              <w:t xml:space="preserve">价</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其价格分为满分。其他</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的价格分统一按</w:t>
            </w:r>
            <w:r>
              <w:rPr>
                <w:rFonts w:ascii="宋体" w:hAnsi="宋体" w:cs="宋体"/>
                <w:color w:val="000000"/>
                <w:spacing w:val="-1"/>
                <w:szCs w:val="21"/>
                <w:highlight w:val="none"/>
              </w:rPr>
              <w:t xml:space="preserve">照下列公</w:t>
            </w:r>
            <w:r>
              <w:rPr>
                <w:rFonts w:ascii="宋体" w:hAnsi="宋体" w:cs="宋体"/>
                <w:color w:val="000000"/>
                <w:szCs w:val="21"/>
                <w:highlight w:val="none"/>
              </w:rPr>
              <w:t xml:space="preserve">式计算：报价得分=(评标基准价/</w:t>
            </w:r>
            <w:r>
              <w:rPr>
                <w:rFonts w:hint="eastAsia" w:ascii="宋体" w:hAnsi="宋体" w:cs="宋体"/>
                <w:color w:val="000000"/>
                <w:szCs w:val="21"/>
                <w:highlight w:val="none"/>
              </w:rPr>
              <w:t xml:space="preserve">最终</w:t>
            </w:r>
            <w:r>
              <w:rPr>
                <w:rFonts w:ascii="宋体" w:hAnsi="宋体" w:cs="宋体"/>
                <w:color w:val="000000"/>
                <w:szCs w:val="21"/>
                <w:highlight w:val="none"/>
              </w:rPr>
              <w:t xml:space="preserve">报价)×</w:t>
            </w:r>
            <w:r>
              <w:rPr>
                <w:rFonts w:hint="eastAsia" w:ascii="宋体" w:hAnsi="宋体" w:cs="宋体"/>
                <w:color w:val="000000"/>
                <w:szCs w:val="21"/>
                <w:highlight w:val="none"/>
              </w:rPr>
              <w:t xml:space="preserve">价格分值（小数点保留两位）</w:t>
            </w:r>
            <w:r/>
          </w:p>
        </w:tc>
        <w:tc>
          <w:tcPr>
            <w:tcW w:w="637" w:type="dxa"/>
            <w:vAlign w:val="center"/>
            <w:textDirection w:val="lrTb"/>
            <w:noWrap w:val="false"/>
          </w:tcPr>
          <w:p>
            <w:pPr>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30</w:t>
            </w:r>
            <w:r/>
          </w:p>
        </w:tc>
        <w:tc>
          <w:tcPr>
            <w:tcW w:w="852"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p>
        </w:tc>
      </w:tr>
      <w:tr>
        <w:trPr>
          <w:jc w:val="center"/>
          <w:trHeight w:val="460"/>
        </w:trPr>
        <w:tc>
          <w:tcPr>
            <w:gridSpan w:val="5"/>
            <w:tcW w:w="9612" w:type="dxa"/>
            <w:vAlign w:val="top"/>
            <w:textDirection w:val="lrTb"/>
            <w:noWrap w:val="false"/>
          </w:tcPr>
          <w:p>
            <w:pPr>
              <w:ind w:left="114"/>
              <w:spacing w:before="123"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2.服务</w:t>
            </w:r>
            <w:r/>
          </w:p>
        </w:tc>
      </w:tr>
      <w:tr>
        <w:trPr>
          <w:jc w:val="center"/>
          <w:trHeight w:val="891"/>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2.1</w:t>
            </w:r>
            <w:r/>
          </w:p>
        </w:tc>
        <w:tc>
          <w:tcPr>
            <w:tcW w:w="1179" w:type="dxa"/>
            <w:vAlign w:val="center"/>
            <w:textDirection w:val="lrTb"/>
            <w:noWrap w:val="false"/>
          </w:tcPr>
          <w:p>
            <w:pPr>
              <w:ind w:right="108"/>
              <w:jc w:val="left"/>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项目总体设想</w:t>
            </w:r>
            <w:r/>
          </w:p>
        </w:tc>
        <w:tc>
          <w:tcPr>
            <w:tcW w:w="6425" w:type="dxa"/>
            <w:vAlign w:val="center"/>
            <w:textDirection w:val="lrTb"/>
            <w:noWrap w:val="false"/>
          </w:tcPr>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总体概述：项目总体设想、方案针对性及养护范围划分；</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（1）总体组织方案满足项目要求，进度保证措施合理、可行针对性强得7分；</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（2）总体施工组织方案基本满足项目需求4分；</w:t>
            </w:r>
            <w:r/>
          </w:p>
          <w:p>
            <w:pPr>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（3）总体施工组织方案简单概述得1分；未提供或有重大偏差不得分。</w:t>
            </w:r>
            <w:r/>
          </w:p>
        </w:tc>
        <w:tc>
          <w:tcPr>
            <w:tcW w:w="63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852"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.2</w:t>
            </w:r>
            <w:r/>
          </w:p>
        </w:tc>
        <w:tc>
          <w:tcPr>
            <w:tcW w:w="1179" w:type="dxa"/>
            <w:vAlign w:val="center"/>
            <w:textDirection w:val="lrTb"/>
            <w:noWrap w:val="false"/>
          </w:tcPr>
          <w:p>
            <w:pPr>
              <w:jc w:val="left"/>
              <w:spacing w:before="260"/>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日常养护、巡查工作方案</w:t>
            </w:r>
            <w:r/>
          </w:p>
        </w:tc>
        <w:tc>
          <w:tcPr>
            <w:tcW w:w="6425" w:type="dxa"/>
            <w:vAlign w:val="center"/>
            <w:textDirection w:val="lrTb"/>
            <w:noWrap w:val="false"/>
          </w:tcPr>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日常养护、巡查工作方案；</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（1）日常养护、巡查工作方案满足项目要求，质量保证措施合理、可行针对性强得</w:t>
            </w:r>
            <w:r>
              <w:rPr>
                <w:rFonts w:hint="eastAsia" w:ascii="宋体" w:hAnsi="宋体" w:cs="宋体"/>
                <w:color w:val="000000"/>
                <w:spacing w:val="1"/>
                <w:szCs w:val="21"/>
                <w:highlight w:val="none"/>
                <w:lang w:val="en-US" w:eastAsia="zh-CN"/>
              </w:rPr>
              <w:t xml:space="preserve">7</w:t>
            </w:r>
            <w:r>
              <w:rPr>
                <w:rFonts w:hint="eastAsia" w:ascii="宋体" w:hAnsi="宋体" w:cs="宋体"/>
                <w:color w:val="000000"/>
                <w:spacing w:val="1"/>
                <w:szCs w:val="21"/>
                <w:highlight w:val="none"/>
              </w:rPr>
              <w:t xml:space="preserve">分；</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（2）日常养护、巡查工作方案基本满足项目需求得</w:t>
            </w:r>
            <w:r>
              <w:rPr>
                <w:rFonts w:hint="eastAsia" w:ascii="宋体" w:hAnsi="宋体" w:cs="宋体"/>
                <w:color w:val="000000"/>
                <w:spacing w:val="1"/>
                <w:szCs w:val="21"/>
                <w:highlight w:val="none"/>
                <w:lang w:val="en-US" w:eastAsia="zh-CN"/>
              </w:rPr>
              <w:t xml:space="preserve">4</w:t>
            </w:r>
            <w:r>
              <w:rPr>
                <w:rFonts w:hint="eastAsia" w:ascii="宋体" w:hAnsi="宋体" w:cs="宋体"/>
                <w:color w:val="000000"/>
                <w:spacing w:val="1"/>
                <w:szCs w:val="21"/>
                <w:highlight w:val="none"/>
              </w:rPr>
              <w:t xml:space="preserve">分；</w:t>
            </w:r>
            <w:r/>
          </w:p>
          <w:p>
            <w:pPr>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（3）日常养护、巡查工作方案简单概述得</w:t>
            </w:r>
            <w:r>
              <w:rPr>
                <w:rFonts w:hint="eastAsia" w:ascii="宋体" w:hAnsi="宋体" w:cs="宋体"/>
                <w:color w:val="000000"/>
                <w:spacing w:val="1"/>
                <w:szCs w:val="21"/>
                <w:highlight w:val="none"/>
                <w:lang w:val="en-US" w:eastAsia="zh-CN"/>
              </w:rPr>
              <w:t xml:space="preserve">1</w:t>
            </w:r>
            <w:r>
              <w:rPr>
                <w:rFonts w:hint="eastAsia" w:ascii="宋体" w:hAnsi="宋体" w:cs="宋体"/>
                <w:color w:val="000000"/>
                <w:spacing w:val="1"/>
                <w:szCs w:val="21"/>
                <w:highlight w:val="none"/>
              </w:rPr>
              <w:t xml:space="preserve">分；未提供或有重大偏差不得分。</w:t>
            </w:r>
            <w:r/>
          </w:p>
        </w:tc>
        <w:tc>
          <w:tcPr>
            <w:tcW w:w="637" w:type="dxa"/>
            <w:vAlign w:val="center"/>
            <w:textDirection w:val="lrTb"/>
            <w:noWrap w:val="false"/>
          </w:tcPr>
          <w:p>
            <w:pPr>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p>
        </w:tc>
        <w:tc>
          <w:tcPr>
            <w:tcW w:w="852" w:type="dxa"/>
            <w:vAlign w:val="center"/>
            <w:textDirection w:val="lrTb"/>
            <w:noWrap w:val="false"/>
          </w:tcPr>
          <w:p>
            <w:pPr>
              <w:jc w:val="center"/>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825"/>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.3</w:t>
            </w:r>
            <w:r/>
          </w:p>
        </w:tc>
        <w:tc>
          <w:tcPr>
            <w:tcW w:w="1179" w:type="dxa"/>
            <w:vAlign w:val="center"/>
            <w:textDirection w:val="lrTb"/>
            <w:noWrap w:val="false"/>
          </w:tcPr>
          <w:p>
            <w:pPr>
              <w:jc w:val="left"/>
              <w:spacing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小型维修施工方案</w:t>
            </w:r>
            <w:r/>
          </w:p>
        </w:tc>
        <w:tc>
          <w:tcPr>
            <w:tcW w:w="6425" w:type="dxa"/>
            <w:vAlign w:val="center"/>
            <w:textDirection w:val="lrTb"/>
            <w:noWrap w:val="false"/>
          </w:tcPr>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小型维修施工方案、安全文明施工及环境保护措施；</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（1）小型维修施工方案、安全文明施工及环境保护措施满足项目要求、合理、可行针对性强得7分；</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（2）小型维修施工方案、安全文明施工及环境保护措施基本满足项目需求4分；</w:t>
            </w:r>
            <w:r/>
          </w:p>
          <w:p>
            <w:pPr>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（3）小型维修施工方案、安全文明施工及环境保护措施简单概述得1分；未提供或有重大偏差不得分。</w:t>
            </w:r>
            <w:r/>
          </w:p>
        </w:tc>
        <w:tc>
          <w:tcPr>
            <w:tcW w:w="63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852" w:type="dxa"/>
            <w:vAlign w:val="center"/>
            <w:textDirection w:val="lrTb"/>
            <w:noWrap w:val="false"/>
          </w:tcPr>
          <w:p>
            <w:pPr>
              <w:jc w:val="center"/>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868"/>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.4</w:t>
            </w:r>
            <w:r/>
          </w:p>
        </w:tc>
        <w:tc>
          <w:tcPr>
            <w:tcW w:w="1179" w:type="dxa"/>
            <w:vAlign w:val="center"/>
            <w:textDirection w:val="lrTb"/>
            <w:noWrap w:val="false"/>
          </w:tcPr>
          <w:p>
            <w:pPr>
              <w:contextualSpacing/>
              <w:jc w:val="left"/>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养护人员配备</w:t>
            </w:r>
            <w:r/>
          </w:p>
        </w:tc>
        <w:tc>
          <w:tcPr>
            <w:tcW w:w="6425" w:type="dxa"/>
            <w:vAlign w:val="center"/>
            <w:textDirection w:val="lrTb"/>
            <w:noWrap w:val="false"/>
          </w:tcPr>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养护人员配备、素质及管理经验； </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（1）养护人员配备及管理方案满足项目要求、合理、可行针对性强得7分；</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（2）养护人员配备及管理方案基本满足项目需求4分；</w:t>
            </w:r>
            <w:r/>
          </w:p>
          <w:p>
            <w:pPr>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（3）养护人员配备及管理方案简单概述得1分；未提供或有重大偏差不得分。</w:t>
            </w:r>
            <w:r/>
          </w:p>
        </w:tc>
        <w:tc>
          <w:tcPr>
            <w:tcW w:w="63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852" w:type="dxa"/>
            <w:vAlign w:val="center"/>
            <w:textDirection w:val="lrTb"/>
            <w:noWrap w:val="false"/>
          </w:tcPr>
          <w:p>
            <w:pPr>
              <w:jc w:val="center"/>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954"/>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.5</w:t>
            </w:r>
            <w:r/>
          </w:p>
        </w:tc>
        <w:tc>
          <w:tcPr>
            <w:tcW w:w="1179" w:type="dxa"/>
            <w:vAlign w:val="center"/>
            <w:textDirection w:val="lrTb"/>
            <w:noWrap w:val="false"/>
          </w:tcPr>
          <w:p>
            <w:pPr>
              <w:jc w:val="left"/>
              <w:spacing w:before="69" w:line="264"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应急处理</w:t>
            </w:r>
            <w:r/>
          </w:p>
        </w:tc>
        <w:tc>
          <w:tcPr>
            <w:tcW w:w="6425" w:type="dxa"/>
            <w:vAlign w:val="center"/>
            <w:textDirection w:val="lrTb"/>
            <w:noWrap w:val="false"/>
          </w:tcPr>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突发事件应急处理措施</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（1）突发事件应急处理预案完备健全，对本服务项目针对性强，具有实际可操作性的得 7分；</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（2）突发事件应急处理预案比较完备、健全的得 4 分；</w:t>
            </w:r>
            <w:r/>
          </w:p>
          <w:p>
            <w:pPr>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（3）突发事件应急处理预案有缺漏得 1分；未提供或有重大偏差不得分。</w:t>
            </w:r>
            <w:r/>
          </w:p>
        </w:tc>
        <w:tc>
          <w:tcPr>
            <w:tcW w:w="63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852" w:type="dxa"/>
            <w:vAlign w:val="center"/>
            <w:textDirection w:val="lrTb"/>
            <w:noWrap w:val="false"/>
          </w:tcPr>
          <w:p>
            <w:pPr>
              <w:jc w:val="center"/>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954"/>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2.6</w:t>
            </w:r>
            <w:r/>
          </w:p>
        </w:tc>
        <w:tc>
          <w:tcPr>
            <w:tcW w:w="1179" w:type="dxa"/>
            <w:vAlign w:val="center"/>
            <w:textDirection w:val="lrTb"/>
            <w:noWrap w:val="false"/>
          </w:tcPr>
          <w:p>
            <w:pPr>
              <w:jc w:val="left"/>
              <w:spacing w:before="69" w:line="264"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养护机械设备</w:t>
            </w:r>
            <w:r/>
          </w:p>
        </w:tc>
        <w:tc>
          <w:tcPr>
            <w:tcW w:w="6425" w:type="dxa"/>
            <w:vAlign w:val="center"/>
            <w:textDirection w:val="lrTb"/>
            <w:noWrap w:val="false"/>
          </w:tcPr>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养护机械设备和材料投入计划；</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（1）养护机械设备和材料投入计划满足项目要求、合理、可行针对性强得7分；</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（2）养护机械设备和材料投入计划基本满足项目需求4分；</w:t>
            </w:r>
            <w:r/>
          </w:p>
          <w:p>
            <w:pPr>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（3）养护机械设备和材料投入计划简单概述得1分；未提供或有重大偏差不得分。</w:t>
            </w:r>
            <w:r/>
          </w:p>
        </w:tc>
        <w:tc>
          <w:tcPr>
            <w:tcW w:w="63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852" w:type="dxa"/>
            <w:vAlign w:val="center"/>
            <w:textDirection w:val="lrTb"/>
            <w:noWrap w:val="false"/>
          </w:tcPr>
          <w:p>
            <w:pPr>
              <w:jc w:val="center"/>
              <w:spacing w:before="68" w:line="264" w:lineRule="auto"/>
              <w:rPr>
                <w:rFonts w:ascii="宋体" w:hAnsi="宋体" w:cs="宋体"/>
                <w:color w:val="000000"/>
                <w:spacing w:val="-6"/>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954"/>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2.7</w:t>
            </w:r>
            <w:r/>
          </w:p>
        </w:tc>
        <w:tc>
          <w:tcPr>
            <w:tcW w:w="1179" w:type="dxa"/>
            <w:vAlign w:val="center"/>
            <w:textDirection w:val="lrTb"/>
            <w:noWrap w:val="false"/>
          </w:tcPr>
          <w:p>
            <w:pPr>
              <w:jc w:val="left"/>
              <w:spacing w:before="69" w:line="264"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养护档案资料管理</w:t>
            </w:r>
            <w:r/>
          </w:p>
        </w:tc>
        <w:tc>
          <w:tcPr>
            <w:tcW w:w="6425" w:type="dxa"/>
            <w:vAlign w:val="center"/>
            <w:textDirection w:val="lrTb"/>
            <w:noWrap w:val="false"/>
          </w:tcPr>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评委根据投标人提供的养护档案资料管理制度，建立、收集、保存、 移交等流程健全、规范程度等综合评分： </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有完备的养护档案资料管理制度，建立、收集、保存、移交等流程健全、规范的得7分；</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养护档案资料管理制度，建立、收集、保存、移交等流程基本健全、 基本规范的得4分；</w:t>
            </w:r>
            <w:r/>
          </w:p>
          <w:p>
            <w:pPr>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养护档案资料管理制度，建立、收集、保存、移交等流程不够健全、 不够规范的得1分；未提供或有重大偏差不得分。</w:t>
            </w:r>
            <w:r/>
          </w:p>
        </w:tc>
        <w:tc>
          <w:tcPr>
            <w:tcW w:w="63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852" w:type="dxa"/>
            <w:vAlign w:val="center"/>
            <w:textDirection w:val="lrTb"/>
            <w:noWrap w:val="false"/>
          </w:tcPr>
          <w:p>
            <w:pPr>
              <w:jc w:val="center"/>
              <w:spacing w:before="68" w:line="264" w:lineRule="auto"/>
              <w:rPr>
                <w:rFonts w:ascii="宋体" w:hAnsi="宋体" w:cs="宋体"/>
                <w:color w:val="000000"/>
                <w:spacing w:val="-6"/>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455"/>
        </w:trPr>
        <w:tc>
          <w:tcPr>
            <w:gridSpan w:val="5"/>
            <w:tcW w:w="9612" w:type="dxa"/>
            <w:vAlign w:val="center"/>
            <w:textDirection w:val="lrTb"/>
            <w:noWrap w:val="false"/>
          </w:tcPr>
          <w:p>
            <w:pPr>
              <w:spacing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3.业绩</w:t>
            </w:r>
            <w:r/>
          </w:p>
        </w:tc>
      </w:tr>
      <w:tr>
        <w:trPr>
          <w:jc w:val="center"/>
          <w:trHeight w:val="1015"/>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3.1</w:t>
            </w:r>
            <w:r/>
          </w:p>
        </w:tc>
        <w:tc>
          <w:tcPr>
            <w:tcW w:w="1179" w:type="dxa"/>
            <w:vAlign w:val="center"/>
            <w:textDirection w:val="lrTb"/>
            <w:noWrap w:val="false"/>
          </w:tcPr>
          <w:p>
            <w:pPr>
              <w:spacing w:before="69" w:line="264" w:lineRule="auto"/>
              <w:rPr>
                <w:rFonts w:ascii="宋体" w:hAnsi="宋体" w:cs="宋体"/>
                <w:color w:val="000000"/>
                <w:spacing w:val="-2"/>
                <w:szCs w:val="21"/>
                <w:highlight w:val="none"/>
              </w:rPr>
            </w:pPr>
            <w:r>
              <w:rPr>
                <w:rFonts w:ascii="宋体" w:hAnsi="宋体" w:cs="宋体"/>
                <w:color w:val="000000"/>
                <w:spacing w:val="-1"/>
                <w:szCs w:val="21"/>
                <w:highlight w:val="none"/>
              </w:rPr>
              <w:t xml:space="preserve">业绩</w:t>
            </w:r>
            <w:r/>
          </w:p>
        </w:tc>
        <w:tc>
          <w:tcPr>
            <w:tcW w:w="6425" w:type="dxa"/>
            <w:vAlign w:val="center"/>
            <w:textDirection w:val="lrTb"/>
            <w:noWrap w:val="false"/>
          </w:tcPr>
          <w:p>
            <w:pPr>
              <w:spacing w:line="264" w:lineRule="auto"/>
              <w:rPr>
                <w:rFonts w:ascii="宋体" w:hAnsi="宋体" w:cs="宋体"/>
                <w:color w:val="000000"/>
                <w:szCs w:val="21"/>
                <w:highlight w:val="none"/>
              </w:rPr>
            </w:pPr>
            <w:r>
              <w:rPr>
                <w:rFonts w:ascii="宋体" w:hAnsi="宋体" w:cs="宋体"/>
                <w:color w:val="000000"/>
                <w:szCs w:val="21"/>
                <w:highlight w:val="none"/>
              </w:rPr>
              <w:t xml:space="preserve">投标人</w:t>
            </w:r>
            <w:r>
              <w:rPr>
                <w:rFonts w:hint="eastAsia" w:ascii="宋体" w:hAnsi="宋体" w:cs="宋体"/>
                <w:color w:val="000000"/>
                <w:szCs w:val="21"/>
                <w:highlight w:val="none"/>
              </w:rPr>
              <w:t xml:space="preserve">提供</w:t>
            </w:r>
            <w:r>
              <w:rPr>
                <w:rFonts w:ascii="宋体" w:hAnsi="宋体" w:cs="宋体"/>
                <w:color w:val="000000"/>
                <w:szCs w:val="21"/>
                <w:highlight w:val="none"/>
              </w:rPr>
              <w:t xml:space="preserve">20</w:t>
            </w:r>
            <w:r>
              <w:rPr>
                <w:rFonts w:hint="eastAsia" w:ascii="宋体" w:hAnsi="宋体" w:cs="宋体"/>
                <w:color w:val="000000"/>
                <w:szCs w:val="21"/>
                <w:highlight w:val="none"/>
              </w:rPr>
              <w:t xml:space="preserve">22</w:t>
            </w:r>
            <w:r>
              <w:rPr>
                <w:rFonts w:ascii="宋体" w:hAnsi="宋体" w:cs="宋体"/>
                <w:color w:val="000000"/>
                <w:szCs w:val="21"/>
                <w:highlight w:val="none"/>
              </w:rPr>
              <w:t xml:space="preserve">年</w:t>
            </w:r>
            <w:r>
              <w:rPr>
                <w:rFonts w:hint="eastAsia" w:ascii="宋体" w:hAnsi="宋体" w:cs="宋体"/>
                <w:color w:val="000000"/>
                <w:szCs w:val="21"/>
                <w:highlight w:val="none"/>
              </w:rPr>
              <w:t xml:space="preserve">1</w:t>
            </w:r>
            <w:r>
              <w:rPr>
                <w:rFonts w:ascii="宋体" w:hAnsi="宋体" w:cs="宋体"/>
                <w:color w:val="000000"/>
                <w:szCs w:val="21"/>
                <w:highlight w:val="none"/>
              </w:rPr>
              <w:t xml:space="preserve">月</w:t>
            </w:r>
            <w:r>
              <w:rPr>
                <w:rFonts w:hint="eastAsia" w:ascii="宋体" w:hAnsi="宋体" w:cs="宋体"/>
                <w:color w:val="000000"/>
                <w:szCs w:val="21"/>
                <w:highlight w:val="none"/>
              </w:rPr>
              <w:t xml:space="preserve">1</w:t>
            </w:r>
            <w:r>
              <w:rPr>
                <w:rFonts w:ascii="宋体" w:hAnsi="宋体" w:cs="宋体"/>
                <w:color w:val="000000"/>
                <w:szCs w:val="21"/>
                <w:highlight w:val="none"/>
              </w:rPr>
              <w:t xml:space="preserve">日（含）以来类似项目业绩</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每提供</w:t>
            </w:r>
            <w:r>
              <w:rPr>
                <w:rFonts w:hint="eastAsia" w:ascii="宋体" w:hAnsi="宋体" w:cs="宋体"/>
                <w:color w:val="000000"/>
                <w:szCs w:val="21"/>
                <w:highlight w:val="none"/>
              </w:rPr>
              <w:t xml:space="preserve">1</w:t>
            </w:r>
            <w:r>
              <w:rPr>
                <w:rFonts w:ascii="宋体" w:hAnsi="宋体" w:cs="宋体"/>
                <w:color w:val="000000"/>
                <w:szCs w:val="21"/>
                <w:highlight w:val="none"/>
              </w:rPr>
              <w:t xml:space="preserve">个得</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分</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最多得</w:t>
            </w:r>
            <w:r>
              <w:rPr>
                <w:rFonts w:hint="eastAsia" w:ascii="宋体" w:hAnsi="宋体" w:cs="宋体"/>
                <w:color w:val="000000"/>
                <w:szCs w:val="21"/>
                <w:highlight w:val="none"/>
                <w:lang w:val="en-US" w:eastAsia="zh-CN"/>
              </w:rPr>
              <w:t xml:space="preserve">4</w:t>
            </w:r>
            <w:r>
              <w:rPr>
                <w:rFonts w:ascii="宋体" w:hAnsi="宋体" w:cs="宋体"/>
                <w:color w:val="000000"/>
                <w:szCs w:val="21"/>
                <w:highlight w:val="none"/>
              </w:rPr>
              <w:t xml:space="preserve">分。</w:t>
            </w:r>
            <w:r/>
          </w:p>
          <w:p>
            <w:pP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时间以合同签订时间为准</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提供有效合同</w:t>
            </w:r>
            <w:r>
              <w:rPr>
                <w:rFonts w:hint="eastAsia" w:ascii="宋体" w:hAnsi="宋体" w:cs="宋体"/>
                <w:color w:val="000000"/>
                <w:szCs w:val="21"/>
                <w:highlight w:val="none"/>
                <w:lang w:eastAsia="zh-CN"/>
              </w:rPr>
              <w:t xml:space="preserve">及通知书</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合同</w:t>
            </w:r>
            <w:r>
              <w:rPr>
                <w:rFonts w:hint="eastAsia" w:ascii="宋体" w:hAnsi="宋体" w:cs="宋体"/>
                <w:color w:val="000000"/>
                <w:szCs w:val="21"/>
                <w:highlight w:val="none"/>
              </w:rPr>
              <w:t xml:space="preserve">页</w:t>
            </w:r>
            <w:r>
              <w:rPr>
                <w:rFonts w:ascii="宋体" w:hAnsi="宋体" w:cs="宋体"/>
                <w:color w:val="000000"/>
                <w:szCs w:val="21"/>
                <w:highlight w:val="none"/>
              </w:rPr>
              <w:t xml:space="preserve">须清晰可见相应内容</w:t>
            </w:r>
            <w:r>
              <w:rPr>
                <w:rFonts w:hint="eastAsia" w:ascii="宋体" w:hAnsi="宋体" w:cs="宋体"/>
                <w:color w:val="000000"/>
                <w:szCs w:val="21"/>
                <w:highlight w:val="none"/>
              </w:rPr>
              <w:t xml:space="preserve">）</w:t>
            </w:r>
            <w:r/>
          </w:p>
        </w:tc>
        <w:tc>
          <w:tcPr>
            <w:tcW w:w="637" w:type="dxa"/>
            <w:vAlign w:val="center"/>
            <w:textDirection w:val="lrTb"/>
            <w:noWrap w:val="false"/>
          </w:tcPr>
          <w:p>
            <w:pPr>
              <w:jc w:val="center"/>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p>
        </w:tc>
        <w:tc>
          <w:tcPr>
            <w:tcW w:w="852"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269"/>
        </w:trPr>
        <w:tc>
          <w:tcPr>
            <w:gridSpan w:val="5"/>
            <w:tcW w:w="9612" w:type="dxa"/>
            <w:vAlign w:val="top"/>
            <w:textDirection w:val="lrTb"/>
            <w:noWrap w:val="false"/>
          </w:tcPr>
          <w:p>
            <w:pPr>
              <w:spacing w:before="123"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4.履约能力</w:t>
            </w:r>
            <w:r/>
          </w:p>
        </w:tc>
      </w:tr>
      <w:tr>
        <w:trPr>
          <w:jc w:val="center"/>
          <w:trHeight w:val="670"/>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4.1</w:t>
            </w:r>
            <w:r/>
          </w:p>
        </w:tc>
        <w:tc>
          <w:tcPr>
            <w:tcW w:w="1179" w:type="dxa"/>
            <w:vAlign w:val="center"/>
            <w:textDirection w:val="lrTb"/>
            <w:noWrap w:val="false"/>
          </w:tcPr>
          <w:p>
            <w:pPr>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履约能力1</w:t>
            </w:r>
            <w:r/>
          </w:p>
        </w:tc>
        <w:tc>
          <w:tcPr>
            <w:tcW w:w="6425" w:type="dxa"/>
            <w:vAlign w:val="center"/>
            <w:textDirection w:val="lrTb"/>
            <w:noWrap w:val="false"/>
          </w:tcPr>
          <w:p>
            <w:pPr>
              <w:spacing w:line="264" w:lineRule="auto"/>
              <w:rPr>
                <w:rFonts w:hint="eastAsia" w:ascii="宋体" w:hAnsi="宋体" w:eastAsia="宋体" w:cs="宋体"/>
                <w:color w:val="000000"/>
                <w:spacing w:val="12"/>
                <w:szCs w:val="21"/>
                <w:highlight w:val="none"/>
                <w:lang w:eastAsia="zh-CN"/>
              </w:rPr>
            </w:pPr>
            <w:r>
              <w:rPr>
                <w:rFonts w:hint="eastAsia" w:ascii="宋体" w:hAnsi="宋体" w:cs="宋体"/>
                <w:color w:val="000000"/>
                <w:szCs w:val="21"/>
                <w:highlight w:val="none"/>
              </w:rPr>
              <w:t xml:space="preserve">投标人提供日常巡查车辆1辆得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分，本项最高得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分。提供车辆照片、购买发票或租赁证明及车辆行驶证</w:t>
            </w:r>
            <w:r>
              <w:rPr>
                <w:rFonts w:hint="eastAsia" w:ascii="宋体" w:hAnsi="宋体" w:cs="宋体"/>
                <w:color w:val="000000"/>
                <w:szCs w:val="21"/>
                <w:highlight w:val="none"/>
                <w:lang w:eastAsia="zh-CN"/>
              </w:rPr>
              <w:t xml:space="preserve">。</w:t>
            </w:r>
            <w:r/>
          </w:p>
        </w:tc>
        <w:tc>
          <w:tcPr>
            <w:tcW w:w="637" w:type="dxa"/>
            <w:vAlign w:val="center"/>
            <w:textDirection w:val="lrTb"/>
            <w:noWrap w:val="false"/>
          </w:tcPr>
          <w:p>
            <w:pPr>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p>
        </w:tc>
        <w:tc>
          <w:tcPr>
            <w:tcW w:w="852" w:type="dxa"/>
            <w:vAlign w:val="center"/>
            <w:textDirection w:val="lrTb"/>
            <w:noWrap w:val="false"/>
          </w:tcPr>
          <w:p>
            <w:pPr>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466"/>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4</w:t>
            </w:r>
            <w:r>
              <w:rPr>
                <w:rFonts w:ascii="宋体" w:hAnsi="宋体" w:cs="宋体"/>
                <w:color w:val="000000"/>
                <w:spacing w:val="-2"/>
                <w:szCs w:val="21"/>
                <w:highlight w:val="none"/>
              </w:rPr>
              <w:t xml:space="preserve">.2</w:t>
            </w:r>
            <w:r/>
          </w:p>
        </w:tc>
        <w:tc>
          <w:tcPr>
            <w:tcW w:w="1179" w:type="dxa"/>
            <w:vAlign w:val="center"/>
            <w:textDirection w:val="lrTb"/>
            <w:noWrap w:val="false"/>
          </w:tcPr>
          <w:p>
            <w:pPr>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履约能力2</w:t>
            </w:r>
            <w:r/>
          </w:p>
        </w:tc>
        <w:tc>
          <w:tcPr>
            <w:tcW w:w="6425" w:type="dxa"/>
            <w:vAlign w:val="center"/>
            <w:textDirection w:val="lrTb"/>
            <w:noWrap w:val="false"/>
          </w:tcPr>
          <w:p>
            <w:pPr>
              <w:spacing w:line="264" w:lineRule="auto"/>
              <w:rPr>
                <w:rFonts w:ascii="宋体" w:hAnsi="宋体" w:cs="宋体"/>
                <w:color w:val="000000"/>
                <w:spacing w:val="12"/>
                <w:szCs w:val="21"/>
                <w:highlight w:val="none"/>
              </w:rPr>
            </w:pPr>
            <w:r>
              <w:rPr>
                <w:rFonts w:hint="eastAsia" w:ascii="宋体" w:hAnsi="宋体" w:cs="宋体"/>
                <w:color w:val="000000"/>
                <w:szCs w:val="21"/>
                <w:highlight w:val="none"/>
              </w:rPr>
              <w:t xml:space="preserve">投标人提供热溶或常温划线机1台得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分，本项最高得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分。提供设备照片、购买发票或租赁证明。</w:t>
            </w:r>
            <w:r/>
          </w:p>
        </w:tc>
        <w:tc>
          <w:tcPr>
            <w:tcW w:w="637" w:type="dxa"/>
            <w:vAlign w:val="center"/>
            <w:textDirection w:val="lrTb"/>
            <w:noWrap w:val="false"/>
          </w:tcPr>
          <w:p>
            <w:pPr>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p>
        </w:tc>
        <w:tc>
          <w:tcPr>
            <w:tcW w:w="852" w:type="dxa"/>
            <w:vAlign w:val="center"/>
            <w:textDirection w:val="lrTb"/>
            <w:noWrap w:val="false"/>
          </w:tcPr>
          <w:p>
            <w:pPr>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760"/>
        </w:trPr>
        <w:tc>
          <w:tcPr>
            <w:tcW w:w="519" w:type="dxa"/>
            <w:vAlign w:val="center"/>
            <w:textDirection w:val="lrTb"/>
            <w:noWrap w:val="false"/>
          </w:tcPr>
          <w:p>
            <w:pPr>
              <w:jc w:val="center"/>
              <w:spacing w:line="264" w:lineRule="auto"/>
              <w:rPr>
                <w:rFonts w:ascii="宋体" w:hAnsi="宋体" w:cs="宋体"/>
                <w:color w:val="000000"/>
                <w:spacing w:val="-3"/>
                <w:szCs w:val="21"/>
                <w:highlight w:val="none"/>
              </w:rPr>
            </w:pPr>
            <w:r>
              <w:rPr>
                <w:rFonts w:hint="eastAsia" w:ascii="宋体" w:hAnsi="宋体" w:cs="宋体"/>
                <w:color w:val="000000"/>
                <w:spacing w:val="-3"/>
                <w:szCs w:val="21"/>
                <w:highlight w:val="none"/>
              </w:rPr>
              <w:t xml:space="preserve">4.3</w:t>
            </w:r>
            <w:r/>
          </w:p>
        </w:tc>
        <w:tc>
          <w:tcPr>
            <w:tcW w:w="1179" w:type="dxa"/>
            <w:vAlign w:val="center"/>
            <w:textDirection w:val="lrTb"/>
            <w:noWrap w:val="false"/>
          </w:tcPr>
          <w:p>
            <w:pP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履约能力3</w:t>
            </w:r>
            <w:r/>
          </w:p>
        </w:tc>
        <w:tc>
          <w:tcPr>
            <w:tcW w:w="6425" w:type="dxa"/>
            <w:vAlign w:val="center"/>
            <w:textDirection w:val="lrTb"/>
            <w:noWrap w:val="false"/>
          </w:tcPr>
          <w:p>
            <w:pP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投标人提供沥</w:t>
            </w:r>
            <w:r>
              <w:rPr>
                <w:rFonts w:hint="eastAsia" w:ascii="宋体" w:hAnsi="宋体" w:eastAsia="宋体" w:cs="宋体"/>
                <w:color w:val="000000"/>
                <w:sz w:val="21"/>
                <w:szCs w:val="21"/>
                <w:lang w:val="en-US" w:eastAsia="zh-CN"/>
              </w:rPr>
              <w:t xml:space="preserve">青灌缝机</w:t>
            </w:r>
            <w:r>
              <w:rPr>
                <w:rFonts w:hint="eastAsia" w:ascii="宋体" w:hAnsi="宋体" w:cs="宋体"/>
                <w:color w:val="000000"/>
                <w:szCs w:val="21"/>
                <w:highlight w:val="none"/>
                <w:lang w:val="en-US" w:eastAsia="zh-CN"/>
              </w:rPr>
              <w:t xml:space="preserve">1台</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本项最高得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p>
          <w:p>
            <w:pP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投标人提供</w:t>
            </w:r>
            <w:r>
              <w:rPr>
                <w:rFonts w:hint="eastAsia" w:ascii="宋体" w:hAnsi="宋体" w:eastAsia="宋体" w:cs="宋体"/>
                <w:color w:val="000000"/>
                <w:sz w:val="21"/>
                <w:szCs w:val="21"/>
                <w:lang w:val="en-US" w:eastAsia="zh-CN"/>
              </w:rPr>
              <w:t xml:space="preserve">运输货车</w:t>
            </w:r>
            <w:r>
              <w:rPr>
                <w:rFonts w:hint="eastAsia" w:ascii="宋体" w:hAnsi="宋体" w:cs="宋体"/>
                <w:color w:val="000000"/>
                <w:szCs w:val="21"/>
                <w:highlight w:val="none"/>
                <w:lang w:val="en-US" w:eastAsia="zh-CN"/>
              </w:rPr>
              <w:t xml:space="preserve">1辆</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分，本项最高得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p>
          <w:p>
            <w:pP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提供设备照片、购买发票或租赁证明。</w:t>
            </w:r>
            <w:r/>
          </w:p>
        </w:tc>
        <w:tc>
          <w:tcPr>
            <w:tcW w:w="637" w:type="dxa"/>
            <w:vAlign w:val="center"/>
            <w:textDirection w:val="lrTb"/>
            <w:noWrap w:val="false"/>
          </w:tcPr>
          <w:p>
            <w:pPr>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p>
        </w:tc>
        <w:tc>
          <w:tcPr>
            <w:tcW w:w="852" w:type="dxa"/>
            <w:vAlign w:val="center"/>
            <w:textDirection w:val="lrTb"/>
            <w:noWrap w:val="false"/>
          </w:tcPr>
          <w:p>
            <w:pPr>
              <w:ind w:right="89"/>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t xml:space="preserve"> </w:t>
            </w:r>
            <w:r/>
          </w:p>
        </w:tc>
      </w:tr>
      <w:tr>
        <w:trPr>
          <w:jc w:val="center"/>
          <w:trHeight w:val="760"/>
        </w:trPr>
        <w:tc>
          <w:tcPr>
            <w:tcW w:w="519" w:type="dxa"/>
            <w:vAlign w:val="center"/>
            <w:textDirection w:val="lrTb"/>
            <w:noWrap w:val="false"/>
          </w:tcPr>
          <w:p>
            <w:pPr>
              <w:jc w:val="center"/>
              <w:spacing w:line="264" w:lineRule="auto"/>
              <w:rPr>
                <w:rFonts w:ascii="宋体" w:hAnsi="宋体" w:eastAsia="宋体" w:cs="宋体"/>
                <w:color w:val="000000"/>
                <w:spacing w:val="-3"/>
                <w:szCs w:val="21"/>
                <w:highlight w:val="none"/>
                <w:lang w:val="en-US" w:eastAsia="zh-CN"/>
              </w:rPr>
            </w:pPr>
            <w:r>
              <w:rPr>
                <w:rFonts w:hint="eastAsia" w:ascii="宋体" w:hAnsi="宋体" w:cs="宋体"/>
                <w:color w:val="000000"/>
                <w:spacing w:val="-3"/>
                <w:szCs w:val="21"/>
                <w:highlight w:val="none"/>
                <w:lang w:val="en-US" w:eastAsia="zh-CN"/>
              </w:rPr>
              <w:t xml:space="preserve">4.4</w:t>
            </w:r>
            <w:r/>
          </w:p>
        </w:tc>
        <w:tc>
          <w:tcPr>
            <w:tcW w:w="1179" w:type="dxa"/>
            <w:vAlign w:val="center"/>
            <w:textDirection w:val="lrTb"/>
            <w:noWrap w:val="false"/>
          </w:tcPr>
          <w:p>
            <w:pPr>
              <w:spacing w:line="264"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eastAsia="zh-CN"/>
              </w:rPr>
              <w:t xml:space="preserve">履约能力</w:t>
            </w:r>
            <w:r>
              <w:rPr>
                <w:rFonts w:hint="eastAsia" w:ascii="宋体" w:hAnsi="宋体" w:cs="宋体"/>
                <w:color w:val="000000"/>
                <w:szCs w:val="21"/>
                <w:highlight w:val="none"/>
                <w:lang w:val="en-US" w:eastAsia="zh-CN"/>
              </w:rPr>
              <w:t xml:space="preserve">4</w:t>
            </w:r>
            <w:r/>
          </w:p>
        </w:tc>
        <w:tc>
          <w:tcPr>
            <w:tcW w:w="6425" w:type="dxa"/>
            <w:vAlign w:val="center"/>
            <w:textDirection w:val="lrTb"/>
            <w:noWrap w:val="false"/>
          </w:tcPr>
          <w:p>
            <w:pPr>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具有绿化养护所需的绿篱机、割灌机、手剪把、平剪、喷雾器作业工具(全部满足得3分，缺一个不得分)，</w:t>
            </w:r>
            <w:r>
              <w:rPr>
                <w:rFonts w:hint="eastAsia" w:ascii="宋体" w:hAnsi="宋体" w:cs="宋体"/>
                <w:color w:val="000000"/>
                <w:szCs w:val="21"/>
                <w:highlight w:val="none"/>
              </w:rPr>
              <w:t xml:space="preserve">提供设备照片、购买发票</w:t>
            </w:r>
            <w:r>
              <w:rPr>
                <w:rFonts w:hint="eastAsia" w:ascii="宋体" w:hAnsi="宋体" w:cs="宋体"/>
                <w:color w:val="000000"/>
                <w:szCs w:val="21"/>
                <w:highlight w:val="none"/>
                <w:lang w:eastAsia="zh-CN"/>
              </w:rPr>
              <w:t xml:space="preserve">，本项须为自有设备</w:t>
            </w:r>
            <w:r>
              <w:rPr>
                <w:rFonts w:hint="eastAsia" w:ascii="宋体" w:hAnsi="宋体" w:cs="宋体"/>
                <w:color w:val="000000"/>
                <w:szCs w:val="21"/>
                <w:highlight w:val="none"/>
              </w:rPr>
              <w:t xml:space="preserve">。</w:t>
            </w:r>
            <w:r/>
          </w:p>
        </w:tc>
        <w:tc>
          <w:tcPr>
            <w:tcW w:w="637" w:type="dxa"/>
            <w:vAlign w:val="center"/>
            <w:textDirection w:val="lrTb"/>
            <w:noWrap w:val="false"/>
          </w:tcPr>
          <w:p>
            <w:pPr>
              <w:jc w:val="center"/>
              <w:spacing w:before="68" w:line="264"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852" w:type="dxa"/>
            <w:vAlign w:val="center"/>
            <w:textDirection w:val="lrTb"/>
            <w:noWrap w:val="false"/>
          </w:tcPr>
          <w:p>
            <w:pPr>
              <w:ind w:right="89"/>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440"/>
        </w:trPr>
        <w:tc>
          <w:tcPr>
            <w:gridSpan w:val="5"/>
            <w:tcW w:w="9612" w:type="dxa"/>
            <w:vAlign w:val="center"/>
            <w:textDirection w:val="lrTb"/>
            <w:noWrap w:val="false"/>
          </w:tcPr>
          <w:p>
            <w:pPr>
              <w:ind w:right="89"/>
              <w:spacing w:before="68" w:line="264" w:lineRule="auto"/>
              <w:rPr>
                <w:rFonts w:ascii="宋体" w:hAnsi="宋体" w:cs="宋体"/>
                <w:color w:val="000000"/>
                <w:spacing w:val="-6"/>
                <w:szCs w:val="21"/>
                <w:highlight w:val="none"/>
              </w:rPr>
            </w:pPr>
            <w:r>
              <w:rPr>
                <w:rFonts w:hint="eastAsia" w:ascii="宋体" w:hAnsi="宋体" w:cs="宋体"/>
                <w:b/>
                <w:bCs/>
                <w:color w:val="000000"/>
                <w:spacing w:val="-3"/>
                <w:szCs w:val="21"/>
                <w:highlight w:val="none"/>
              </w:rPr>
              <w:t xml:space="preserve">5.承诺</w:t>
            </w:r>
            <w:r/>
          </w:p>
        </w:tc>
      </w:tr>
      <w:tr>
        <w:trPr>
          <w:jc w:val="center"/>
          <w:trHeight w:val="760"/>
        </w:trPr>
        <w:tc>
          <w:tcPr>
            <w:tcW w:w="519" w:type="dxa"/>
            <w:vAlign w:val="center"/>
            <w:textDirection w:val="lrTb"/>
            <w:noWrap w:val="false"/>
          </w:tcPr>
          <w:p>
            <w:pPr>
              <w:jc w:val="center"/>
              <w:spacing w:line="264" w:lineRule="auto"/>
              <w:rPr>
                <w:rFonts w:ascii="宋体" w:hAnsi="宋体" w:cs="宋体"/>
                <w:color w:val="000000"/>
                <w:spacing w:val="-3"/>
                <w:szCs w:val="21"/>
                <w:highlight w:val="none"/>
              </w:rPr>
            </w:pPr>
            <w:r>
              <w:rPr>
                <w:rFonts w:hint="eastAsia" w:ascii="宋体" w:hAnsi="宋体" w:cs="宋体"/>
                <w:color w:val="000000"/>
                <w:spacing w:val="-3"/>
                <w:szCs w:val="21"/>
                <w:highlight w:val="none"/>
              </w:rPr>
              <w:t xml:space="preserve">5</w:t>
            </w:r>
            <w:r/>
          </w:p>
        </w:tc>
        <w:tc>
          <w:tcPr>
            <w:tcW w:w="1179" w:type="dxa"/>
            <w:vAlign w:val="center"/>
            <w:textDirection w:val="lrTb"/>
            <w:noWrap w:val="false"/>
          </w:tcPr>
          <w:p>
            <w:pP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承诺</w:t>
            </w:r>
            <w:r/>
          </w:p>
        </w:tc>
        <w:tc>
          <w:tcPr>
            <w:tcW w:w="6425" w:type="dxa"/>
            <w:vAlign w:val="center"/>
            <w:textDirection w:val="lrTb"/>
            <w:noWrap w:val="false"/>
          </w:tcPr>
          <w:p>
            <w:pPr>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5.1供应商提供</w:t>
            </w:r>
            <w:r>
              <w:rPr>
                <w:rFonts w:hint="eastAsia" w:ascii="宋体" w:hAnsi="宋体" w:cs="宋体"/>
                <w:color w:val="000000"/>
                <w:szCs w:val="21"/>
                <w:highlight w:val="none"/>
                <w:lang w:eastAsia="zh-CN"/>
              </w:rPr>
              <w:t xml:space="preserve">服务</w:t>
            </w:r>
            <w:r>
              <w:rPr>
                <w:rFonts w:hint="eastAsia" w:ascii="宋体" w:hAnsi="宋体" w:cs="宋体"/>
                <w:color w:val="000000"/>
                <w:szCs w:val="21"/>
                <w:highlight w:val="none"/>
              </w:rPr>
              <w:t xml:space="preserve">承诺，确保</w:t>
            </w:r>
            <w:r>
              <w:rPr>
                <w:rFonts w:hint="eastAsia" w:ascii="宋体" w:hAnsi="宋体" w:cs="宋体"/>
                <w:color w:val="000000"/>
                <w:szCs w:val="21"/>
                <w:highlight w:val="none"/>
                <w:lang w:eastAsia="zh-CN"/>
              </w:rPr>
              <w:t xml:space="preserve">按照文件要求进行养护、维修路段及时做好审批、计量、验收等工作</w:t>
            </w:r>
            <w:r>
              <w:rPr>
                <w:rFonts w:hint="eastAsia" w:ascii="宋体" w:hAnsi="宋体" w:cs="宋体"/>
                <w:color w:val="000000"/>
                <w:szCs w:val="21"/>
                <w:highlight w:val="none"/>
              </w:rPr>
              <w:t xml:space="preserve">，提供承诺书的得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分，未提供不得分；（承诺书加盖公章，格式自拟）</w:t>
            </w:r>
            <w:r>
              <w:rPr>
                <w:rFonts w:hint="eastAsia" w:ascii="宋体" w:hAnsi="宋体" w:cs="宋体"/>
                <w:color w:val="000000"/>
                <w:szCs w:val="21"/>
                <w:highlight w:val="none"/>
                <w:lang w:eastAsia="zh-CN"/>
              </w:rPr>
              <w:t xml:space="preserve">。</w:t>
            </w:r>
            <w:r/>
          </w:p>
          <w:p>
            <w:pPr>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5.2供应商需要保证</w:t>
            </w:r>
            <w:r>
              <w:rPr>
                <w:rFonts w:hint="eastAsia" w:ascii="宋体" w:hAnsi="宋体" w:cs="宋体"/>
                <w:color w:val="000000"/>
                <w:szCs w:val="21"/>
                <w:highlight w:val="none"/>
                <w:lang w:eastAsia="zh-CN"/>
              </w:rPr>
              <w:t xml:space="preserve">成交</w:t>
            </w:r>
            <w:r>
              <w:rPr>
                <w:rFonts w:hint="eastAsia" w:ascii="宋体" w:hAnsi="宋体" w:cs="宋体"/>
                <w:color w:val="000000"/>
                <w:szCs w:val="21"/>
                <w:highlight w:val="none"/>
              </w:rPr>
              <w:t xml:space="preserve">后不得因价格、工期等因素而放弃中标资格，提供承诺书的得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分，未提供不得分；（承诺书加盖公章，格式自拟）</w:t>
            </w:r>
            <w:r/>
          </w:p>
        </w:tc>
        <w:tc>
          <w:tcPr>
            <w:tcW w:w="637" w:type="dxa"/>
            <w:vAlign w:val="center"/>
            <w:textDirection w:val="lrTb"/>
            <w:noWrap w:val="false"/>
          </w:tcPr>
          <w:p>
            <w:pPr>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p>
        </w:tc>
        <w:tc>
          <w:tcPr>
            <w:tcW w:w="852" w:type="dxa"/>
            <w:vAlign w:val="center"/>
            <w:textDirection w:val="lrTb"/>
            <w:noWrap w:val="false"/>
          </w:tcPr>
          <w:p>
            <w:pPr>
              <w:ind w:right="89"/>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t xml:space="preserve"> </w:t>
            </w:r>
            <w:r/>
          </w:p>
        </w:tc>
      </w:tr>
      <w:tr>
        <w:trPr>
          <w:jc w:val="center"/>
          <w:trHeight w:val="464"/>
        </w:trPr>
        <w:tc>
          <w:tcPr>
            <w:tcW w:w="519" w:type="dxa"/>
            <w:vAlign w:val="center"/>
            <w:textDirection w:val="lrTb"/>
            <w:noWrap w:val="false"/>
          </w:tcPr>
          <w:p>
            <w:pPr>
              <w:jc w:val="center"/>
              <w:spacing w:line="264" w:lineRule="auto"/>
              <w:rPr>
                <w:color w:val="000000"/>
                <w:szCs w:val="21"/>
                <w:highlight w:val="none"/>
              </w:rPr>
            </w:pPr>
            <w:r>
              <w:rPr>
                <w:rFonts w:ascii="宋体" w:hAnsi="宋体" w:cs="宋体"/>
                <w:color w:val="000000"/>
                <w:spacing w:val="-3"/>
                <w:szCs w:val="21"/>
                <w:highlight w:val="none"/>
              </w:rPr>
              <w:t xml:space="preserve">合</w:t>
            </w:r>
            <w:r>
              <w:rPr>
                <w:rFonts w:ascii="宋体" w:hAnsi="宋体" w:cs="宋体"/>
                <w:color w:val="000000"/>
                <w:spacing w:val="-2"/>
                <w:szCs w:val="21"/>
                <w:highlight w:val="none"/>
              </w:rPr>
              <w:t xml:space="preserve">计</w:t>
            </w:r>
            <w:r/>
          </w:p>
        </w:tc>
        <w:tc>
          <w:tcPr>
            <w:gridSpan w:val="2"/>
            <w:tcW w:w="7604" w:type="dxa"/>
            <w:vAlign w:val="center"/>
            <w:textDirection w:val="lrTb"/>
            <w:noWrap w:val="false"/>
          </w:tcPr>
          <w:p>
            <w:pPr>
              <w:ind w:left="172"/>
              <w:jc w:val="center"/>
              <w:spacing w:before="123" w:line="264" w:lineRule="auto"/>
              <w:rPr>
                <w:rFonts w:ascii="宋体" w:hAnsi="宋体" w:cs="宋体"/>
                <w:color w:val="000000"/>
                <w:spacing w:val="-2"/>
                <w:szCs w:val="21"/>
                <w:highlight w:val="none"/>
              </w:rPr>
            </w:pPr>
            <w:r>
              <w:rPr>
                <w:rFonts w:ascii="宋体" w:hAnsi="宋体" w:cs="宋体"/>
                <w:color w:val="000000"/>
                <w:spacing w:val="-2"/>
                <w:szCs w:val="21"/>
                <w:highlight w:val="none"/>
              </w:rPr>
            </w:r>
            <w:r/>
          </w:p>
        </w:tc>
        <w:tc>
          <w:tcPr>
            <w:gridSpan w:val="2"/>
            <w:tcW w:w="1489" w:type="dxa"/>
            <w:vAlign w:val="center"/>
            <w:textDirection w:val="lrTb"/>
            <w:noWrap w:val="false"/>
          </w:tcPr>
          <w:p>
            <w:pPr>
              <w:jc w:val="center"/>
              <w:spacing w:line="264" w:lineRule="auto"/>
              <w:rPr>
                <w:color w:val="000000"/>
                <w:szCs w:val="21"/>
                <w:highlight w:val="none"/>
              </w:rPr>
            </w:pPr>
            <w:r>
              <w:rPr>
                <w:rFonts w:ascii="宋体" w:hAnsi="宋体" w:cs="宋体"/>
                <w:color w:val="000000"/>
                <w:spacing w:val="-11"/>
                <w:szCs w:val="21"/>
                <w:highlight w:val="none"/>
              </w:rPr>
              <w:t xml:space="preserve">100分</w:t>
            </w:r>
            <w:r/>
          </w:p>
        </w:tc>
      </w:tr>
    </w:tbl>
    <w:p>
      <w:pPr>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260"/>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rPr>
      </w:pPr>
      <w:r>
        <w:rPr>
          <w:rFonts w:hint="eastAsia"/>
        </w:rPr>
      </w:r>
      <w:r/>
    </w:p>
    <w:p>
      <w:pPr>
        <w:spacing w:line="264" w:lineRule="auto"/>
        <w:rPr>
          <w:rFonts w:eastAsia="宋体"/>
          <w:color w:val="000000"/>
          <w:highlight w:val="none"/>
          <w:lang w:val="en-US" w:eastAsia="zh-CN"/>
        </w:rPr>
      </w:pPr>
      <w:r>
        <w:rPr>
          <w:rFonts w:hint="eastAsia" w:ascii="宋体" w:hAnsi="宋体" w:cs="宋体"/>
          <w:b/>
          <w:bCs/>
          <w:color w:val="000000"/>
          <w:sz w:val="24"/>
          <w:szCs w:val="24"/>
          <w:highlight w:val="none"/>
        </w:rPr>
        <w:t xml:space="preserve">附件</w:t>
      </w:r>
      <w:r>
        <w:rPr>
          <w:rFonts w:hint="eastAsia" w:ascii="宋体" w:hAnsi="宋体" w:cs="宋体"/>
          <w:b/>
          <w:bCs/>
          <w:color w:val="000000"/>
          <w:sz w:val="24"/>
          <w:szCs w:val="24"/>
          <w:highlight w:val="none"/>
          <w:lang w:val="en-US" w:eastAsia="zh-CN"/>
        </w:rPr>
        <w:t xml:space="preserve">1.考核评分表（仅供参考）</w:t>
      </w:r>
      <w:r/>
    </w:p>
    <w:p>
      <w:pPr>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 </w:t>
      </w:r>
      <w:r>
        <w:rPr>
          <w:rFonts w:hint="eastAsia" w:ascii="仿宋" w:hAnsi="仿宋" w:eastAsia="仿宋" w:cs="仿宋"/>
          <w:b/>
          <w:color w:val="000000"/>
          <w:sz w:val="36"/>
          <w:szCs w:val="36"/>
          <w:highlight w:val="none"/>
          <w:lang w:eastAsia="zh-CN"/>
        </w:rPr>
        <w:t xml:space="preserve">竹镇镇</w:t>
      </w:r>
      <w:r>
        <w:rPr>
          <w:rFonts w:hint="eastAsia" w:ascii="仿宋" w:hAnsi="仿宋" w:eastAsia="仿宋" w:cs="仿宋"/>
          <w:b/>
          <w:color w:val="000000"/>
          <w:sz w:val="36"/>
          <w:szCs w:val="36"/>
          <w:highlight w:val="none"/>
        </w:rPr>
        <w:t xml:space="preserve">农村公路市场化养护考核评分表</w:t>
      </w:r>
      <w:r/>
    </w:p>
    <w:p>
      <w:pPr>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（202</w:t>
      </w:r>
      <w:r>
        <w:rPr>
          <w:rFonts w:hint="eastAsia" w:ascii="仿宋" w:hAnsi="仿宋" w:eastAsia="仿宋" w:cs="仿宋"/>
          <w:b/>
          <w:color w:val="000000"/>
          <w:szCs w:val="21"/>
          <w:highlight w:val="none"/>
          <w:lang w:val="en-US" w:eastAsia="zh-CN"/>
        </w:rPr>
        <w:t xml:space="preserve">6</w:t>
      </w:r>
      <w:r>
        <w:rPr>
          <w:rFonts w:hint="eastAsia" w:ascii="仿宋" w:hAnsi="仿宋" w:eastAsia="仿宋" w:cs="仿宋"/>
          <w:b/>
          <w:color w:val="000000"/>
          <w:szCs w:val="21"/>
          <w:highlight w:val="none"/>
        </w:rPr>
        <w:t xml:space="preserve">年第  季度）</w:t>
      </w:r>
      <w:r/>
    </w:p>
    <w:tbl>
      <w:tblPr>
        <w:tblStyle w:val="1086"/>
        <w:tblW w:w="10291" w:type="dxa"/>
        <w:tblInd w:w="-5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60"/>
        <w:gridCol w:w="4476"/>
        <w:gridCol w:w="1284"/>
        <w:gridCol w:w="1695"/>
        <w:gridCol w:w="555"/>
        <w:gridCol w:w="601"/>
      </w:tblGrid>
      <w:tr>
        <w:trPr>
          <w:trHeight w:val="508"/>
        </w:trPr>
        <w:tc>
          <w:tcPr>
            <w:gridSpan w:val="2"/>
            <w:tcW w:w="1680" w:type="dxa"/>
            <w:vAlign w:val="center"/>
            <w:textDirection w:val="lrTb"/>
            <w:noWrap w:val="false"/>
          </w:tcPr>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检查项目</w:t>
            </w:r>
            <w:r/>
          </w:p>
        </w:tc>
        <w:tc>
          <w:tcPr>
            <w:gridSpan w:val="3"/>
            <w:tcW w:w="7455" w:type="dxa"/>
            <w:vAlign w:val="center"/>
            <w:textDirection w:val="lrTb"/>
            <w:noWrap w:val="false"/>
          </w:tcPr>
          <w:p>
            <w:pPr>
              <w:ind w:firstLine="90"/>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检查内容</w:t>
            </w:r>
            <w:r/>
          </w:p>
        </w:tc>
        <w:tc>
          <w:tcPr>
            <w:tcW w:w="555" w:type="dxa"/>
            <w:vAlign w:val="center"/>
            <w:textDirection w:val="lrTb"/>
            <w:noWrap w:val="false"/>
          </w:tcPr>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考评</w:t>
            </w:r>
            <w:r/>
          </w:p>
        </w:tc>
        <w:tc>
          <w:tcPr>
            <w:tcW w:w="601" w:type="dxa"/>
            <w:vAlign w:val="center"/>
            <w:textDirection w:val="lrTb"/>
            <w:noWrap w:val="false"/>
          </w:tcPr>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说明</w:t>
            </w:r>
            <w:r/>
          </w:p>
        </w:tc>
      </w:tr>
      <w:tr>
        <w:trPr>
          <w:trHeight w:val="340"/>
        </w:trPr>
        <w:tc>
          <w:tcPr>
            <w:gridSpan w:val="2"/>
            <w:tcW w:w="1680" w:type="dxa"/>
            <w:vAlign w:val="center"/>
            <w:vMerge w:val="restart"/>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日常管理（15分）</w:t>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1.有无固定的办公、停放场所；（2分）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restart"/>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gridSpan w:val="2"/>
            <w:tcW w:w="168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2.建立人员机械设备管理资料；（2分）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gridSpan w:val="2"/>
            <w:tcW w:w="168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3.制定落实养护月度计划；（2分）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gridSpan w:val="2"/>
            <w:tcW w:w="168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gridSpan w:val="3"/>
            <w:tcW w:w="7455" w:type="dxa"/>
            <w:vAlign w:val="center"/>
            <w:textDirection w:val="lrTb"/>
            <w:noWrap w:val="false"/>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4.作业期间人员须穿着具有明显警示反光效果的着装，相关车辆、机械停靠安全有序；（3分，一例扣0.2分）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gridSpan w:val="2"/>
            <w:tcW w:w="168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5.各类巡查养护记录、图表等内业档案资料格式统一齐全，符合主管部门检查考核要求。（6分，季度1分，年度2分）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gridSpan w:val="2"/>
            <w:tcW w:w="1680" w:type="dxa"/>
            <w:vAlign w:val="center"/>
            <w:vMerge w:val="restart"/>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道路巡查（10分）</w:t>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1.落实巡查并详细真实记录公路及其附属设施状况；（4分）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restart"/>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27"/>
        </w:trPr>
        <w:tc>
          <w:tcPr>
            <w:gridSpan w:val="2"/>
            <w:tcW w:w="168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2.巡查或养护过程中及时排查公路及其附属设施的病害缺陷、安全隐患等情况并上报处置；（3分，一处扣0.5分）</w:t>
            </w:r>
            <w:r/>
          </w:p>
        </w:tc>
        <w:tc>
          <w:tcPr>
            <w:tcW w:w="5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27"/>
        </w:trPr>
        <w:tc>
          <w:tcPr>
            <w:gridSpan w:val="2"/>
            <w:tcW w:w="168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3.及时发现制止擅自占用损坏公路、打场晒粮</w:t>
            </w: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rPr>
              <w:t xml:space="preserve">非公路标志设置等情况并上报处置。（3分，一处扣0.5分）</w:t>
            </w:r>
            <w:r/>
          </w:p>
        </w:tc>
        <w:tc>
          <w:tcPr>
            <w:tcW w:w="5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27"/>
        </w:trPr>
        <w:tc>
          <w:tcPr>
            <w:tcW w:w="720" w:type="dxa"/>
            <w:vAlign w:val="center"/>
            <w:vMerge w:val="restart"/>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日常</w:t>
            </w:r>
            <w:r/>
          </w:p>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养护</w:t>
            </w:r>
            <w:r/>
          </w:p>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(70分)</w:t>
            </w:r>
            <w:r/>
          </w:p>
        </w:tc>
        <w:tc>
          <w:tcPr>
            <w:tcW w:w="960" w:type="dxa"/>
            <w:vAlign w:val="center"/>
            <w:vMerge w:val="restart"/>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路面</w:t>
            </w:r>
            <w:r/>
          </w:p>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(25分)</w:t>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1.保持干净整洁，无垃圾、杂物等，及时清理碎石泥土；（10分，一处&lt;100m内&gt;扣0.1分）</w:t>
            </w:r>
            <w:r/>
          </w:p>
        </w:tc>
        <w:tc>
          <w:tcPr>
            <w:tcW w:w="5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restart"/>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27"/>
        </w:trPr>
        <w:tc>
          <w:tcPr>
            <w:tcW w:w="720"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r>
            <w:r/>
          </w:p>
        </w:tc>
        <w:tc>
          <w:tcPr>
            <w:tcW w:w="96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2.保障安全畅通，及时清理路面积石、积水、堆积物等。（5分，一处&lt;100m内&gt;扣0.2分）</w:t>
            </w:r>
            <w:r/>
          </w:p>
        </w:tc>
        <w:tc>
          <w:tcPr>
            <w:tcW w:w="5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27"/>
        </w:trPr>
        <w:tc>
          <w:tcPr>
            <w:tcW w:w="72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6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3.冬季雪天时采用撒盐、人工机械铲除等方式清理路面积雪积冰。（10分，每公里0.2分）</w:t>
            </w:r>
            <w:r/>
          </w:p>
        </w:tc>
        <w:tc>
          <w:tcPr>
            <w:tcW w:w="5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27"/>
        </w:trPr>
        <w:tc>
          <w:tcPr>
            <w:tcW w:w="72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60" w:type="dxa"/>
            <w:vAlign w:val="center"/>
            <w:vMerge w:val="restart"/>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路基</w:t>
            </w:r>
            <w:r/>
          </w:p>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（15分）</w:t>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1.路肩整洁平整、边坡稳点平顺，无垃圾、杂物、堆积物等；（5分，一处&lt;100m内&gt;扣0.1分）</w:t>
            </w:r>
            <w:r/>
          </w:p>
        </w:tc>
        <w:tc>
          <w:tcPr>
            <w:tcW w:w="5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720"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r>
            <w:r/>
          </w:p>
        </w:tc>
        <w:tc>
          <w:tcPr>
            <w:tcW w:w="960"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2.边沟保持畅通，无垃圾、杂物、堆积物；（5分，一处&lt;100m内&gt;扣0.1分）</w:t>
            </w:r>
            <w:r/>
          </w:p>
        </w:tc>
        <w:tc>
          <w:tcPr>
            <w:tcW w:w="5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72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6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3.无高草（15cm），及时制止并清理种植。（5分，一处&lt;100m内&gt;扣0.1分）</w:t>
            </w:r>
            <w:r/>
          </w:p>
        </w:tc>
        <w:tc>
          <w:tcPr>
            <w:tcW w:w="5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27"/>
        </w:trPr>
        <w:tc>
          <w:tcPr>
            <w:tcW w:w="72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60" w:type="dxa"/>
            <w:vAlign w:val="center"/>
            <w:vMerge w:val="restart"/>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桥、涵</w:t>
            </w:r>
            <w:r/>
          </w:p>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（10分）</w:t>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1.桥梁外观整洁无杂物，桥面同路面，伸缩缝、泄水孔通畅无堵塞；(5分，一座扣0.5分)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720"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r>
            <w:r/>
          </w:p>
        </w:tc>
        <w:tc>
          <w:tcPr>
            <w:tcW w:w="960"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2.涵管通畅无杂物。(5分，一道扣0.2分)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72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60"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交安设施（10分）</w:t>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1.标线、标志、护栏、警示桩等设施清晰，无污染、松动；(10分，一处扣0.1分)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720"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60" w:type="dxa"/>
            <w:vAlign w:val="center"/>
            <w:vMerge w:val="restart"/>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绿化</w:t>
            </w:r>
            <w:r/>
          </w:p>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（10分）</w:t>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1.绿化整齐美观，分支点按各树种标准修剪，及时处置遮挡、歪倒等隐患；(5分，每公里0.2分)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720"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r>
            <w:r/>
          </w:p>
        </w:tc>
        <w:tc>
          <w:tcPr>
            <w:tcW w:w="960"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2.期内整体刷白一次。(5分)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vMerge w:val="continue"/>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873"/>
        </w:trPr>
        <w:tc>
          <w:tcPr>
            <w:gridSpan w:val="2"/>
            <w:tcW w:w="1680"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投诉及处理</w:t>
            </w:r>
            <w:r/>
          </w:p>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（5分）</w:t>
            </w:r>
            <w:r/>
          </w:p>
        </w:tc>
        <w:tc>
          <w:tcPr>
            <w:gridSpan w:val="3"/>
            <w:tcW w:w="7455"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因养护不到位所产生的12345等投诉。（一次扣0.5分）</w:t>
            </w:r>
            <w:r/>
          </w:p>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1.处理结果满意不另扣分；2.处理结果基本满意（加扣0.2分）；3.处理结果不满意。（加扣0.5分）</w:t>
            </w:r>
            <w:r/>
          </w:p>
        </w:tc>
        <w:tc>
          <w:tcPr>
            <w:tcW w:w="55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01"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649"/>
        </w:trPr>
        <w:tc>
          <w:tcPr>
            <w:gridSpan w:val="2"/>
            <w:tcW w:w="168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 w:val="22"/>
                <w:highlight w:val="none"/>
              </w:rPr>
              <w:t xml:space="preserve">考评得分</w:t>
            </w:r>
            <w:r/>
          </w:p>
        </w:tc>
        <w:tc>
          <w:tcPr>
            <w:gridSpan w:val="5"/>
            <w:tcW w:w="8611"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65"/>
        </w:trPr>
        <w:tc>
          <w:tcPr>
            <w:gridSpan w:val="2"/>
            <w:tcW w:w="168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考核人员</w:t>
            </w:r>
            <w:r/>
          </w:p>
        </w:tc>
        <w:tc>
          <w:tcPr>
            <w:tcW w:w="4476"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28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养护单位</w:t>
            </w:r>
            <w:r/>
          </w:p>
        </w:tc>
        <w:tc>
          <w:tcPr>
            <w:gridSpan w:val="3"/>
            <w:tcW w:w="2851"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jc w:val="center"/>
        <w:keepNext/>
        <w:rPr>
          <w:rFonts w:hint="eastAsia" w:ascii="黑体" w:hAnsi="Times New Roman" w:eastAsia="黑体"/>
          <w:bCs/>
          <w:color w:val="000000"/>
          <w:sz w:val="44"/>
          <w:szCs w:val="28"/>
          <w:highlight w:val="none"/>
        </w:rPr>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cols w:num="1" w:sep="0" w:space="1701" w:equalWidth="1"/>
          <w:docGrid w:linePitch="360"/>
          <w:titlePg/>
        </w:sectPr>
        <w:outlineLvl w:val="0"/>
      </w:pPr>
      <w:r>
        <w:rPr>
          <w:rFonts w:hint="eastAsia" w:ascii="黑体" w:hAnsi="Times New Roman" w:eastAsia="黑体"/>
          <w:bCs/>
          <w:color w:val="000000"/>
          <w:sz w:val="44"/>
          <w:szCs w:val="28"/>
          <w:highlight w:val="none"/>
        </w:rPr>
      </w:r>
      <w:r/>
    </w:p>
    <w:p>
      <w:pPr>
        <w:keepNext/>
        <w:spacing w:line="360" w:lineRule="auto"/>
        <w:rPr>
          <w:rFonts w:hint="eastAsia" w:ascii="宋体" w:hAnsi="宋体" w:cs="宋体"/>
          <w:color w:val="000000"/>
          <w:highlight w:val="none"/>
        </w:rPr>
        <w:sectPr>
          <w:footerReference w:type="default" r:id="rId13"/>
          <w:footnotePr/>
          <w:endnotePr/>
          <w:type w:val="continuous"/>
          <w:pgSz w:w="11906" w:h="16838" w:orient="portrait"/>
          <w:pgMar w:top="1418" w:right="1418" w:bottom="1418" w:left="1418" w:header="851" w:footer="680" w:gutter="0"/>
          <w:pgNumType w:start="28"/>
          <w:cols w:num="1" w:sep="0" w:space="1701" w:equalWidth="1"/>
          <w:docGrid w:linePitch="360"/>
        </w:sectPr>
      </w:pPr>
      <w:r>
        <w:rPr>
          <w:rFonts w:hint="eastAsia" w:ascii="宋体" w:hAnsi="宋体" w:cs="宋体"/>
          <w:color w:val="000000"/>
          <w:highlight w:val="none"/>
        </w:rPr>
        <w:br w:type="page" w:clear="all"/>
      </w:r>
      <w:r/>
    </w:p>
    <w:p>
      <w:pPr>
        <w:keepNex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附件2、维修请示审批表</w:t>
      </w:r>
      <w:r/>
    </w:p>
    <w:p>
      <w:pPr>
        <w:jc w:val="center"/>
        <w:keepNext/>
        <w:rPr>
          <w:rFonts w:ascii="宋体" w:hAnsi="宋体" w:cs="宋体"/>
          <w:color w:val="000000"/>
          <w:highlight w:val="none"/>
        </w:rPr>
      </w:pPr>
      <w:r>
        <w:rPr>
          <w:rFonts w:hint="eastAsia" w:ascii="宋体" w:hAnsi="宋体" w:cs="宋体"/>
          <w:b/>
          <w:bCs/>
          <w:color w:val="000000"/>
          <w:sz w:val="28"/>
          <w:szCs w:val="32"/>
          <w:highlight w:val="none"/>
        </w:rPr>
        <w:t xml:space="preserve">维修请示审批表</w:t>
      </w:r>
      <w:r/>
    </w:p>
    <w:tbl>
      <w:tblPr>
        <w:tblStyle w:val="1086"/>
        <w:tblW w:w="9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86"/>
        <w:gridCol w:w="6653"/>
      </w:tblGrid>
      <w:tr>
        <w:trPr>
          <w:trHeight w:val="90"/>
        </w:trPr>
        <w:tc>
          <w:tcPr>
            <w:tcW w:w="2686" w:type="dxa"/>
            <w:vAlign w:val="center"/>
            <w:textDirection w:val="lrTb"/>
            <w:noWrap w:val="false"/>
          </w:tcPr>
          <w:p>
            <w:pPr>
              <w:jc w:val="center"/>
              <w:keepNext/>
              <w:rPr>
                <w:rFonts w:hint="eastAsia" w:ascii="宋体" w:hAnsi="宋体" w:cs="宋体"/>
                <w:color w:val="000000"/>
                <w:highlight w:val="none"/>
              </w:rPr>
            </w:pPr>
            <w:r>
              <w:rPr>
                <w:rFonts w:hint="eastAsia" w:ascii="宋体" w:hAnsi="宋体" w:cs="宋体"/>
                <w:color w:val="000000"/>
                <w:highlight w:val="none"/>
              </w:rPr>
              <w:t xml:space="preserve">申请内容</w:t>
            </w:r>
            <w:r/>
          </w:p>
        </w:tc>
        <w:tc>
          <w:tcPr>
            <w:tcW w:w="6653" w:type="dxa"/>
            <w:vAlign w:val="top"/>
            <w:textDirection w:val="lrTb"/>
            <w:noWrap w:val="false"/>
          </w:tcPr>
          <w:p>
            <w:pPr>
              <w:keepNext/>
              <w:spacing w:line="360" w:lineRule="auto"/>
              <w:rPr>
                <w:rFonts w:hint="eastAsia" w:ascii="宋体" w:hAnsi="宋体" w:cs="宋体"/>
                <w:color w:val="000000"/>
                <w:highlight w:val="none"/>
                <w:u w:val="single"/>
              </w:rPr>
            </w:pP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采购人</w:t>
            </w:r>
            <w:r>
              <w:rPr>
                <w:rFonts w:hint="eastAsia" w:ascii="宋体" w:hAnsi="宋体" w:cs="宋体"/>
                <w:color w:val="000000"/>
                <w:highlight w:val="none"/>
                <w:u w:val="single"/>
              </w:rPr>
              <w:t xml:space="preserve">）</w:t>
            </w:r>
            <w:r/>
          </w:p>
          <w:p>
            <w:pPr>
              <w:keepNext/>
              <w:spacing w:line="360" w:lineRule="auto"/>
              <w:rPr>
                <w:rFonts w:hint="eastAsia" w:ascii="宋体" w:hAnsi="宋体" w:cs="宋体"/>
                <w:color w:val="000000"/>
                <w:highlight w:val="none"/>
              </w:rPr>
            </w:pPr>
            <w:r>
              <w:rPr>
                <w:rFonts w:hint="eastAsia" w:ascii="宋体" w:hAnsi="宋体" w:cs="宋体"/>
                <w:color w:val="000000"/>
                <w:highlight w:val="none"/>
              </w:rPr>
              <w:t xml:space="preserve">本次维修路段：</w:t>
            </w:r>
            <w:r/>
          </w:p>
          <w:p>
            <w:pPr>
              <w:keepNext/>
              <w:spacing w:line="360" w:lineRule="auto"/>
              <w:rPr>
                <w:rFonts w:hint="eastAsia" w:ascii="宋体" w:hAnsi="宋体" w:cs="宋体"/>
                <w:color w:val="000000"/>
                <w:highlight w:val="none"/>
              </w:rPr>
            </w:pPr>
            <w:r>
              <w:rPr>
                <w:rFonts w:hint="eastAsia" w:ascii="宋体" w:hAnsi="宋体" w:cs="宋体"/>
                <w:color w:val="000000"/>
                <w:highlight w:val="none"/>
              </w:rPr>
              <w:t xml:space="preserve">行政等级：</w:t>
            </w:r>
            <w:r/>
          </w:p>
          <w:p>
            <w:pPr>
              <w:keepNext/>
              <w:spacing w:line="36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维修内容</w:t>
            </w:r>
            <w:r>
              <w:rPr>
                <w:rFonts w:hint="eastAsia" w:ascii="宋体" w:hAnsi="宋体" w:cs="宋体"/>
                <w:color w:val="000000"/>
                <w:highlight w:val="none"/>
              </w:rPr>
              <w:t xml:space="preserve">：</w:t>
            </w:r>
            <w:r/>
          </w:p>
          <w:p>
            <w:pPr>
              <w:ind w:firstLine="3570"/>
              <w:keepNext/>
              <w:spacing w:line="360" w:lineRule="auto"/>
              <w:rPr>
                <w:rFonts w:hint="eastAsia" w:ascii="宋体" w:hAnsi="宋体" w:cs="宋体"/>
                <w:color w:val="000000"/>
                <w:highlight w:val="none"/>
              </w:rPr>
            </w:pPr>
            <w:r>
              <w:rPr>
                <w:rFonts w:hint="eastAsia" w:ascii="宋体" w:hAnsi="宋体" w:cs="宋体"/>
                <w:color w:val="000000"/>
                <w:highlight w:val="none"/>
                <w:lang w:eastAsia="zh-CN"/>
              </w:rPr>
              <w:t xml:space="preserve">养护</w:t>
            </w:r>
            <w:r>
              <w:rPr>
                <w:rFonts w:hint="eastAsia" w:ascii="宋体" w:hAnsi="宋体" w:cs="宋体"/>
                <w:color w:val="000000"/>
                <w:highlight w:val="none"/>
              </w:rPr>
              <w:t xml:space="preserve">单位（签证）</w:t>
            </w:r>
            <w:r/>
          </w:p>
          <w:p>
            <w:pPr>
              <w:ind w:firstLine="3570"/>
              <w:keepNext/>
              <w:spacing w:line="360" w:lineRule="auto"/>
              <w:rPr>
                <w:rFonts w:hint="eastAsia" w:ascii="宋体" w:hAnsi="宋体" w:cs="宋体"/>
                <w:color w:val="000000"/>
                <w:highlight w:val="none"/>
              </w:rPr>
            </w:pPr>
            <w:r>
              <w:rPr>
                <w:rFonts w:hint="eastAsia" w:ascii="宋体" w:hAnsi="宋体" w:cs="宋体"/>
                <w:color w:val="000000"/>
                <w:highlight w:val="none"/>
              </w:rPr>
              <w:t xml:space="preserve">日    期：   年  月  日</w:t>
            </w:r>
            <w:r/>
          </w:p>
        </w:tc>
      </w:tr>
      <w:tr>
        <w:trPr>
          <w:trHeight w:val="689"/>
        </w:trPr>
        <w:tc>
          <w:tcPr>
            <w:tcW w:w="2686" w:type="dxa"/>
            <w:vAlign w:val="center"/>
            <w:textDirection w:val="lrTb"/>
            <w:noWrap w:val="false"/>
          </w:tcPr>
          <w:p>
            <w:pPr>
              <w:jc w:val="center"/>
              <w:keepNext/>
              <w:rPr>
                <w:rFonts w:hint="eastAsia" w:ascii="宋体" w:hAnsi="宋体" w:cs="宋体"/>
                <w:color w:val="000000"/>
                <w:highlight w:val="none"/>
              </w:rPr>
            </w:pPr>
            <w:r>
              <w:rPr>
                <w:rFonts w:hint="eastAsia" w:ascii="宋体" w:hAnsi="宋体" w:cs="宋体"/>
                <w:color w:val="000000"/>
                <w:highlight w:val="none"/>
              </w:rPr>
              <w:t xml:space="preserve">主管部门意见</w:t>
            </w:r>
            <w:r/>
          </w:p>
        </w:tc>
        <w:tc>
          <w:tcPr>
            <w:tcW w:w="6653" w:type="dxa"/>
            <w:vAlign w:val="center"/>
            <w:textDirection w:val="lrTb"/>
            <w:noWrap w:val="false"/>
          </w:tcPr>
          <w:p>
            <w:pPr>
              <w:jc w:val="center"/>
              <w:keepNext/>
              <w:spacing w:line="240" w:lineRule="auto"/>
              <w:rPr>
                <w:rFonts w:hint="eastAsia" w:ascii="宋体" w:hAnsi="宋体" w:cs="宋体"/>
                <w:color w:val="000000"/>
                <w:highlight w:val="none"/>
              </w:rPr>
            </w:pPr>
            <w:r>
              <w:rPr>
                <w:rFonts w:hint="eastAsia" w:ascii="宋体" w:hAnsi="宋体" w:cs="宋体"/>
                <w:color w:val="000000"/>
                <w:highlight w:val="none"/>
              </w:rPr>
              <w:t xml:space="preserve">        签章：</w:t>
            </w:r>
            <w:r/>
          </w:p>
          <w:p>
            <w:pPr>
              <w:jc w:val="center"/>
              <w:keepNext/>
              <w:spacing w:line="240" w:lineRule="auto"/>
              <w:rPr>
                <w:rFonts w:hint="eastAsia" w:ascii="宋体" w:hAnsi="宋体" w:cs="宋体"/>
                <w:color w:val="000000"/>
                <w:highlight w:val="none"/>
              </w:rPr>
            </w:pPr>
            <w:r>
              <w:rPr>
                <w:rFonts w:hint="eastAsia" w:ascii="宋体" w:hAnsi="宋体" w:cs="宋体"/>
                <w:color w:val="000000"/>
                <w:highlight w:val="none"/>
              </w:rPr>
              <w:t xml:space="preserve">                    日期：  年  月  日</w:t>
            </w:r>
            <w:r/>
          </w:p>
        </w:tc>
      </w:tr>
      <w:tr>
        <w:trPr>
          <w:trHeight w:val="689"/>
        </w:trPr>
        <w:tc>
          <w:tcPr>
            <w:tcW w:w="2686" w:type="dxa"/>
            <w:vAlign w:val="center"/>
            <w:textDirection w:val="lrTb"/>
            <w:noWrap w:val="false"/>
          </w:tcPr>
          <w:p>
            <w:pPr>
              <w:jc w:val="center"/>
              <w:keepNext/>
              <w:rPr>
                <w:rFonts w:hint="eastAsia" w:ascii="宋体" w:hAnsi="宋体" w:cs="宋体"/>
                <w:color w:val="000000"/>
                <w:highlight w:val="none"/>
              </w:rPr>
            </w:pPr>
            <w:r>
              <w:rPr>
                <w:rFonts w:hint="eastAsia" w:ascii="宋体" w:hAnsi="宋体" w:cs="宋体"/>
                <w:color w:val="000000"/>
                <w:highlight w:val="none"/>
              </w:rPr>
              <w:t xml:space="preserve">分管领导意见</w:t>
            </w:r>
            <w:r/>
          </w:p>
        </w:tc>
        <w:tc>
          <w:tcPr>
            <w:tcW w:w="6653" w:type="dxa"/>
            <w:vAlign w:val="top"/>
            <w:textDirection w:val="lrTb"/>
            <w:noWrap w:val="false"/>
          </w:tcPr>
          <w:p>
            <w:pPr>
              <w:jc w:val="center"/>
              <w:keepNext/>
              <w:spacing w:line="240" w:lineRule="auto"/>
              <w:rPr>
                <w:rFonts w:hint="eastAsia" w:ascii="宋体" w:hAnsi="宋体" w:cs="宋体"/>
                <w:color w:val="000000"/>
                <w:highlight w:val="none"/>
              </w:rPr>
            </w:pPr>
            <w:r>
              <w:rPr>
                <w:rFonts w:hint="eastAsia" w:ascii="宋体" w:hAnsi="宋体" w:cs="宋体"/>
                <w:color w:val="000000"/>
                <w:highlight w:val="none"/>
              </w:rPr>
              <w:t xml:space="preserve">        签字：</w:t>
            </w:r>
            <w:r/>
          </w:p>
          <w:p>
            <w:pPr>
              <w:jc w:val="center"/>
              <w:keepNext/>
              <w:spacing w:line="240" w:lineRule="auto"/>
              <w:rPr>
                <w:rFonts w:hint="eastAsia" w:ascii="宋体" w:hAnsi="宋体" w:cs="宋体"/>
                <w:color w:val="000000"/>
                <w:highlight w:val="none"/>
              </w:rPr>
            </w:pPr>
            <w:r>
              <w:rPr>
                <w:rFonts w:hint="eastAsia" w:ascii="宋体" w:hAnsi="宋体" w:cs="宋体"/>
                <w:color w:val="000000"/>
                <w:highlight w:val="none"/>
              </w:rPr>
              <w:t xml:space="preserve">                    日期：  年  月  日</w:t>
            </w:r>
            <w:r/>
          </w:p>
        </w:tc>
      </w:tr>
      <w:tr>
        <w:trPr>
          <w:trHeight w:val="701"/>
        </w:trPr>
        <w:tc>
          <w:tcPr>
            <w:tcW w:w="2686" w:type="dxa"/>
            <w:vAlign w:val="center"/>
            <w:textDirection w:val="lrTb"/>
            <w:noWrap w:val="false"/>
          </w:tcPr>
          <w:p>
            <w:pPr>
              <w:jc w:val="center"/>
              <w:keepNext/>
              <w:rPr>
                <w:rFonts w:hint="eastAsia" w:ascii="宋体" w:hAnsi="宋体" w:cs="宋体"/>
                <w:color w:val="000000"/>
                <w:highlight w:val="none"/>
              </w:rPr>
            </w:pPr>
            <w:r>
              <w:rPr>
                <w:rFonts w:hint="eastAsia" w:ascii="宋体" w:hAnsi="宋体" w:cs="宋体"/>
                <w:color w:val="000000"/>
                <w:highlight w:val="none"/>
              </w:rPr>
              <w:t xml:space="preserve">主要领导意见</w:t>
            </w:r>
            <w:r/>
          </w:p>
        </w:tc>
        <w:tc>
          <w:tcPr>
            <w:tcW w:w="6653" w:type="dxa"/>
            <w:vAlign w:val="top"/>
            <w:textDirection w:val="lrTb"/>
            <w:noWrap w:val="false"/>
          </w:tcPr>
          <w:p>
            <w:pPr>
              <w:jc w:val="center"/>
              <w:keepNext/>
              <w:spacing w:line="240" w:lineRule="auto"/>
              <w:rPr>
                <w:rFonts w:hint="eastAsia" w:ascii="宋体" w:hAnsi="宋体" w:cs="宋体"/>
                <w:color w:val="000000"/>
                <w:highlight w:val="none"/>
              </w:rPr>
            </w:pPr>
            <w:r>
              <w:rPr>
                <w:rFonts w:hint="eastAsia" w:ascii="宋体" w:hAnsi="宋体" w:cs="宋体"/>
                <w:color w:val="000000"/>
                <w:highlight w:val="none"/>
              </w:rPr>
              <w:t xml:space="preserve">        签字：</w:t>
            </w:r>
            <w:r/>
          </w:p>
          <w:p>
            <w:pPr>
              <w:jc w:val="center"/>
              <w:keepNext/>
              <w:spacing w:line="240" w:lineRule="auto"/>
              <w:rPr>
                <w:rFonts w:hint="eastAsia" w:ascii="宋体" w:hAnsi="宋体" w:cs="宋体"/>
                <w:color w:val="000000"/>
                <w:highlight w:val="none"/>
              </w:rPr>
            </w:pPr>
            <w:r>
              <w:rPr>
                <w:rFonts w:hint="eastAsia" w:ascii="宋体" w:hAnsi="宋体" w:cs="宋体"/>
                <w:color w:val="000000"/>
                <w:highlight w:val="none"/>
              </w:rPr>
              <w:t xml:space="preserve">                    日期：  年  月  日</w:t>
            </w:r>
            <w:r/>
          </w:p>
        </w:tc>
      </w:tr>
      <w:tr>
        <w:trPr>
          <w:trHeight w:val="701"/>
        </w:trPr>
        <w:tc>
          <w:tcPr>
            <w:tcW w:w="2686" w:type="dxa"/>
            <w:vAlign w:val="center"/>
            <w:textDirection w:val="lrTb"/>
            <w:noWrap w:val="false"/>
          </w:tcPr>
          <w:p>
            <w:pPr>
              <w:jc w:val="center"/>
              <w:keepNext/>
              <w:rPr>
                <w:rFonts w:hint="eastAsia" w:ascii="宋体" w:hAnsi="宋体" w:cs="宋体"/>
                <w:color w:val="000000"/>
                <w:highlight w:val="none"/>
              </w:rPr>
            </w:pPr>
            <w:r>
              <w:rPr>
                <w:rFonts w:hint="eastAsia" w:ascii="宋体" w:hAnsi="宋体" w:cs="宋体"/>
                <w:color w:val="000000"/>
                <w:highlight w:val="none"/>
              </w:rPr>
              <w:t xml:space="preserve">备注</w:t>
            </w:r>
            <w:r/>
          </w:p>
        </w:tc>
        <w:tc>
          <w:tcPr>
            <w:tcW w:w="6653" w:type="dxa"/>
            <w:vAlign w:val="top"/>
            <w:textDirection w:val="lrTb"/>
            <w:noWrap w:val="false"/>
          </w:tcPr>
          <w:p>
            <w:pPr>
              <w:jc w:val="center"/>
              <w:keepNext/>
              <w:rPr>
                <w:rFonts w:hint="eastAsia" w:ascii="宋体" w:hAnsi="宋体" w:cs="宋体"/>
                <w:color w:val="000000"/>
                <w:highlight w:val="none"/>
              </w:rPr>
            </w:pPr>
            <w:r>
              <w:rPr>
                <w:rFonts w:hint="eastAsia" w:ascii="宋体" w:hAnsi="宋体" w:cs="宋体"/>
                <w:color w:val="000000"/>
                <w:highlight w:val="none"/>
              </w:rPr>
            </w:r>
            <w:r/>
          </w:p>
        </w:tc>
      </w:tr>
    </w:tbl>
    <w:p>
      <w:pPr>
        <w:keepNext/>
        <w:rPr>
          <w:rFonts w:hint="eastAsia"/>
          <w:color w:val="000000"/>
          <w:highlight w:val="none"/>
        </w:rPr>
      </w:pPr>
      <w:r>
        <w:rPr>
          <w:rFonts w:hint="eastAsia"/>
          <w:color w:val="000000"/>
          <w:highlight w:val="none"/>
        </w:rPr>
      </w:r>
      <w:r/>
    </w:p>
    <w:p>
      <w:pPr>
        <w:keepNext/>
        <w:spacing w:line="360" w:lineRule="auto"/>
        <w:rPr>
          <w:rFonts w:hint="eastAsia" w:ascii="宋体" w:hAnsi="宋体" w:cs="宋体"/>
          <w:color w:val="000000"/>
          <w:highlight w:val="none"/>
        </w:rPr>
      </w:pPr>
      <w:r>
        <w:rPr>
          <w:rFonts w:hint="eastAsia" w:ascii="宋体" w:hAnsi="宋体" w:cs="宋体"/>
          <w:color w:val="000000"/>
          <w:highlight w:val="none"/>
        </w:rPr>
      </w:r>
      <w:r/>
    </w:p>
    <w:p>
      <w:pPr>
        <w:keepNext/>
        <w:spacing w:line="360" w:lineRule="auto"/>
        <w:rPr>
          <w:rFonts w:hint="eastAsia" w:ascii="宋体" w:hAnsi="宋体" w:cs="宋体"/>
          <w:color w:val="000000"/>
          <w:highlight w:val="none"/>
        </w:rPr>
      </w:pPr>
      <w:r>
        <w:rPr>
          <w:rFonts w:hint="eastAsia" w:ascii="宋体" w:hAnsi="宋体" w:cs="宋体"/>
          <w:color w:val="000000"/>
          <w:highlight w:val="none"/>
        </w:rPr>
      </w:r>
      <w:r/>
    </w:p>
    <w:p>
      <w:pPr>
        <w:keepNext/>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附件3：计量单</w:t>
      </w:r>
      <w:r/>
    </w:p>
    <w:p>
      <w:pPr>
        <w:keepNex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jc w:val="right"/>
        <w:keepNext/>
        <w:spacing w:line="240" w:lineRule="auto"/>
        <w:rPr>
          <w:rFonts w:ascii="新宋体" w:hAnsi="新宋体" w:eastAsia="新宋体" w:cs="新宋体"/>
          <w:color w:val="000000"/>
          <w:sz w:val="24"/>
          <w:highlight w:val="none"/>
        </w:rPr>
      </w:pPr>
      <w:r>
        <w:rPr>
          <w:rFonts w:hint="eastAsia" w:ascii="新宋体" w:hAnsi="新宋体" w:eastAsia="新宋体" w:cs="新宋体"/>
          <w:b/>
          <w:bCs/>
          <w:color w:val="000000"/>
          <w:sz w:val="44"/>
          <w:highlight w:val="none"/>
        </w:rPr>
        <w:t xml:space="preserve"> 计  量  单</w:t>
      </w:r>
      <w:r>
        <w:rPr>
          <w:rFonts w:hint="eastAsia" w:ascii="新宋体" w:hAnsi="新宋体" w:eastAsia="新宋体" w:cs="新宋体"/>
          <w:b/>
          <w:bCs/>
          <w:color w:val="000000"/>
          <w:sz w:val="44"/>
          <w:highlight w:val="none"/>
          <w:lang w:val="en-US" w:eastAsia="zh-CN"/>
        </w:rPr>
        <w:t xml:space="preserve">           </w:t>
      </w:r>
      <w:r>
        <w:rPr>
          <w:rFonts w:hint="eastAsia" w:ascii="新宋体" w:hAnsi="新宋体" w:eastAsia="新宋体" w:cs="新宋体"/>
          <w:color w:val="000000"/>
          <w:sz w:val="24"/>
          <w:highlight w:val="none"/>
        </w:rPr>
        <w:t xml:space="preserve">编号：01</w:t>
      </w:r>
      <w:r/>
    </w:p>
    <w:tbl>
      <w:tblPr>
        <w:tblStyle w:val="1086"/>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850"/>
        <w:gridCol w:w="2268"/>
        <w:gridCol w:w="284"/>
        <w:gridCol w:w="1221"/>
        <w:gridCol w:w="763"/>
        <w:gridCol w:w="2237"/>
      </w:tblGrid>
      <w:tr>
        <w:trPr>
          <w:jc w:val="center"/>
          <w:trHeight w:val="612"/>
        </w:trPr>
        <w:tc>
          <w:tcPr>
            <w:tcW w:w="1303" w:type="dxa"/>
            <w:vAlign w:val="center"/>
            <w:textDirection w:val="lrTb"/>
            <w:noWrap w:val="false"/>
          </w:tcPr>
          <w:p>
            <w:pPr>
              <w:jc w:val="cente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lang w:eastAsia="zh-CN"/>
              </w:rPr>
              <w:t xml:space="preserve">项目</w:t>
            </w:r>
            <w:r>
              <w:rPr>
                <w:rFonts w:hint="eastAsia" w:ascii="新宋体" w:hAnsi="新宋体" w:eastAsia="新宋体" w:cs="新宋体"/>
                <w:color w:val="000000"/>
                <w:szCs w:val="21"/>
                <w:highlight w:val="none"/>
              </w:rPr>
              <w:t xml:space="preserve">名称</w:t>
            </w:r>
            <w:r/>
          </w:p>
        </w:tc>
        <w:tc>
          <w:tcPr>
            <w:gridSpan w:val="3"/>
            <w:tcW w:w="3402" w:type="dxa"/>
            <w:vAlign w:val="center"/>
            <w:textDirection w:val="lrTb"/>
            <w:noWrap w:val="false"/>
          </w:tcPr>
          <w:p>
            <w:pPr>
              <w:jc w:val="cente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tc>
        <w:tc>
          <w:tcPr>
            <w:tcW w:w="1221" w:type="dxa"/>
            <w:vAlign w:val="center"/>
            <w:textDirection w:val="lrTb"/>
            <w:noWrap w:val="false"/>
          </w:tcPr>
          <w:p>
            <w:pPr>
              <w:jc w:val="cente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建设单位</w:t>
            </w:r>
            <w:r/>
          </w:p>
        </w:tc>
        <w:tc>
          <w:tcPr>
            <w:gridSpan w:val="2"/>
            <w:tcW w:w="3000" w:type="dxa"/>
            <w:vAlign w:val="center"/>
            <w:textDirection w:val="lrTb"/>
            <w:noWrap w:val="false"/>
          </w:tcPr>
          <w:p>
            <w:pPr>
              <w:jc w:val="cente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tc>
      </w:tr>
      <w:tr>
        <w:trPr>
          <w:jc w:val="center"/>
          <w:trHeight w:val="507"/>
        </w:trPr>
        <w:tc>
          <w:tcPr>
            <w:tcW w:w="1303" w:type="dxa"/>
            <w:vAlign w:val="center"/>
            <w:textDirection w:val="lrTb"/>
            <w:noWrap w:val="false"/>
          </w:tcPr>
          <w:p>
            <w:pPr>
              <w:jc w:val="cente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监理单位</w:t>
            </w:r>
            <w:r/>
          </w:p>
        </w:tc>
        <w:tc>
          <w:tcPr>
            <w:gridSpan w:val="3"/>
            <w:tcW w:w="3402" w:type="dxa"/>
            <w:vAlign w:val="center"/>
            <w:textDirection w:val="lrTb"/>
            <w:noWrap w:val="false"/>
          </w:tcPr>
          <w:p>
            <w:pPr>
              <w:jc w:val="cente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tc>
        <w:tc>
          <w:tcPr>
            <w:tcW w:w="1221" w:type="dxa"/>
            <w:vAlign w:val="center"/>
            <w:textDirection w:val="lrTb"/>
            <w:noWrap w:val="false"/>
          </w:tcPr>
          <w:p>
            <w:pPr>
              <w:jc w:val="cente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lang w:eastAsia="zh-CN"/>
              </w:rPr>
              <w:t xml:space="preserve">养护</w:t>
            </w:r>
            <w:r>
              <w:rPr>
                <w:rFonts w:hint="eastAsia" w:ascii="新宋体" w:hAnsi="新宋体" w:eastAsia="新宋体" w:cs="新宋体"/>
                <w:color w:val="000000"/>
                <w:szCs w:val="21"/>
                <w:highlight w:val="none"/>
              </w:rPr>
              <w:t xml:space="preserve">单位</w:t>
            </w:r>
            <w:r/>
          </w:p>
        </w:tc>
        <w:tc>
          <w:tcPr>
            <w:gridSpan w:val="2"/>
            <w:tcW w:w="3000" w:type="dxa"/>
            <w:vAlign w:val="center"/>
            <w:textDirection w:val="lrTb"/>
            <w:noWrap w:val="false"/>
          </w:tcPr>
          <w:p>
            <w:pPr>
              <w:jc w:val="cente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tc>
      </w:tr>
      <w:tr>
        <w:trPr>
          <w:cantSplit/>
          <w:jc w:val="center"/>
          <w:trHeight w:val="997"/>
        </w:trPr>
        <w:tc>
          <w:tcPr>
            <w:gridSpan w:val="7"/>
            <w:tcW w:w="8926" w:type="dxa"/>
            <w:vAlign w:val="top"/>
            <w:textDirection w:val="lrTb"/>
            <w:noWrap w:val="false"/>
          </w:tcPr>
          <w:p>
            <w:pPr>
              <w:jc w:val="left"/>
              <w:keepNext/>
              <w:spacing w:line="400" w:lineRule="exact"/>
              <w:rPr>
                <w:rFonts w:hint="eastAsia" w:ascii="新宋体" w:hAnsi="新宋体" w:eastAsia="新宋体" w:cs="新宋体"/>
                <w:color w:val="000000"/>
                <w:sz w:val="24"/>
                <w:szCs w:val="28"/>
                <w:highlight w:val="none"/>
              </w:rPr>
            </w:pPr>
            <w:r>
              <w:rPr>
                <w:rFonts w:hint="eastAsia" w:ascii="新宋体" w:hAnsi="新宋体" w:eastAsia="新宋体" w:cs="新宋体"/>
                <w:color w:val="000000"/>
                <w:sz w:val="24"/>
                <w:szCs w:val="28"/>
                <w:highlight w:val="none"/>
              </w:rPr>
            </w:r>
            <w:r/>
          </w:p>
          <w:p>
            <w:pPr>
              <w:jc w:val="left"/>
              <w:keepNext/>
              <w:spacing w:line="400" w:lineRule="exact"/>
              <w:rPr>
                <w:rFonts w:hint="eastAsia" w:ascii="新宋体" w:hAnsi="新宋体" w:eastAsia="新宋体" w:cs="新宋体"/>
                <w:bCs/>
                <w:color w:val="000000"/>
                <w:sz w:val="24"/>
                <w:highlight w:val="none"/>
              </w:rPr>
            </w:pPr>
            <w:r>
              <w:rPr>
                <w:rFonts w:hint="eastAsia" w:ascii="新宋体" w:hAnsi="新宋体" w:eastAsia="新宋体" w:cs="新宋体"/>
                <w:color w:val="000000"/>
                <w:sz w:val="24"/>
                <w:szCs w:val="28"/>
                <w:highlight w:val="none"/>
              </w:rPr>
              <w:t xml:space="preserve">计量单内容：  </w:t>
            </w:r>
            <w:r>
              <w:rPr>
                <w:rFonts w:hint="eastAsia" w:ascii="新宋体" w:hAnsi="新宋体" w:eastAsia="新宋体" w:cs="新宋体"/>
                <w:bCs/>
                <w:color w:val="000000"/>
                <w:szCs w:val="21"/>
                <w:highlight w:val="none"/>
              </w:rPr>
              <w:t xml:space="preserve">  </w:t>
            </w:r>
            <w:r/>
          </w:p>
          <w:p>
            <w:pPr>
              <w:ind w:left="360"/>
              <w:jc w:val="left"/>
              <w:keepNext/>
              <w:spacing w:line="360" w:lineRule="auto"/>
              <w:rPr>
                <w:rFonts w:ascii="Arial" w:hAnsi="Arial" w:eastAsia="新宋体" w:cs="Arial"/>
                <w:color w:val="000000"/>
                <w:sz w:val="24"/>
                <w:szCs w:val="28"/>
                <w:highlight w:val="none"/>
              </w:rPr>
            </w:pPr>
            <w:r>
              <w:rPr>
                <w:rFonts w:ascii="Arial" w:hAnsi="Arial" w:eastAsia="新宋体" w:cs="Arial"/>
                <w:color w:val="000000"/>
                <w:sz w:val="24"/>
                <w:szCs w:val="28"/>
                <w:highlight w:val="none"/>
              </w:rPr>
            </w:r>
            <w:r/>
          </w:p>
        </w:tc>
      </w:tr>
      <w:tr>
        <w:trPr>
          <w:cantSplit/>
          <w:jc w:val="center"/>
          <w:trHeight w:val="631"/>
        </w:trPr>
        <w:tc>
          <w:tcPr>
            <w:gridSpan w:val="2"/>
            <w:tcW w:w="2153" w:type="dxa"/>
            <w:vAlign w:val="center"/>
            <w:textDirection w:val="lrTb"/>
            <w:noWrap w:val="false"/>
          </w:tcPr>
          <w:p>
            <w:pPr>
              <w:ind w:firstLine="630"/>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lang w:eastAsia="zh-CN"/>
              </w:rPr>
              <w:t xml:space="preserve">养护</w:t>
            </w:r>
            <w:r>
              <w:rPr>
                <w:rFonts w:hint="eastAsia" w:ascii="新宋体" w:hAnsi="新宋体" w:eastAsia="新宋体" w:cs="新宋体"/>
                <w:color w:val="000000"/>
                <w:szCs w:val="21"/>
                <w:highlight w:val="none"/>
              </w:rPr>
              <w:t xml:space="preserve">单位</w:t>
            </w:r>
            <w:r/>
          </w:p>
        </w:tc>
        <w:tc>
          <w:tcPr>
            <w:tcW w:w="2268" w:type="dxa"/>
            <w:vAlign w:val="center"/>
            <w:textDirection w:val="lrTb"/>
            <w:noWrap w:val="false"/>
          </w:tcPr>
          <w:p>
            <w:pPr>
              <w:ind w:firstLine="630"/>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监理单位</w:t>
            </w:r>
            <w:r/>
          </w:p>
        </w:tc>
        <w:tc>
          <w:tcPr>
            <w:gridSpan w:val="3"/>
            <w:tcW w:w="2268" w:type="dxa"/>
            <w:vAlign w:val="center"/>
            <w:textDirection w:val="lrTb"/>
            <w:noWrap w:val="false"/>
          </w:tcPr>
          <w:p>
            <w:pPr>
              <w:ind w:firstLine="315"/>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   审计单位</w:t>
            </w:r>
            <w:r/>
          </w:p>
        </w:tc>
        <w:tc>
          <w:tcPr>
            <w:tcW w:w="2237" w:type="dxa"/>
            <w:vAlign w:val="center"/>
            <w:textDirection w:val="lrTb"/>
            <w:noWrap w:val="false"/>
          </w:tcPr>
          <w:p>
            <w:pPr>
              <w:ind w:firstLine="315"/>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建设单位    </w:t>
            </w:r>
            <w:r/>
          </w:p>
        </w:tc>
      </w:tr>
      <w:tr>
        <w:trPr>
          <w:cantSplit/>
          <w:jc w:val="center"/>
          <w:trHeight w:val="1726"/>
        </w:trPr>
        <w:tc>
          <w:tcPr>
            <w:gridSpan w:val="2"/>
            <w:tcW w:w="2153" w:type="dxa"/>
            <w:vAlign w:val="center"/>
            <w:textDirection w:val="lrTb"/>
            <w:noWrap w:val="false"/>
          </w:tcPr>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负责人：</w:t>
            </w:r>
            <w:r/>
          </w:p>
          <w:p>
            <w:pPr>
              <w:ind w:firstLine="1470"/>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ind w:firstLine="630"/>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年   月  日</w:t>
            </w:r>
            <w:r/>
          </w:p>
        </w:tc>
        <w:tc>
          <w:tcPr>
            <w:tcW w:w="2268" w:type="dxa"/>
            <w:vAlign w:val="center"/>
            <w:textDirection w:val="lrTb"/>
            <w:noWrap w:val="false"/>
          </w:tcPr>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负责人：</w:t>
            </w:r>
            <w:r/>
          </w:p>
          <w:p>
            <w:pPr>
              <w:ind w:firstLine="1470"/>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ind w:firstLine="840"/>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年   月  日</w:t>
            </w:r>
            <w:r/>
          </w:p>
        </w:tc>
        <w:tc>
          <w:tcPr>
            <w:gridSpan w:val="3"/>
            <w:tcW w:w="2268" w:type="dxa"/>
            <w:vAlign w:val="center"/>
            <w:textDirection w:val="lrTb"/>
            <w:noWrap w:val="false"/>
          </w:tcPr>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负责人：</w:t>
            </w:r>
            <w:r/>
          </w:p>
          <w:p>
            <w:pPr>
              <w:ind w:firstLine="1470"/>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ind w:firstLine="840"/>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年   月  日</w:t>
            </w:r>
            <w:r/>
          </w:p>
        </w:tc>
        <w:tc>
          <w:tcPr>
            <w:tcW w:w="2237" w:type="dxa"/>
            <w:vAlign w:val="center"/>
            <w:textDirection w:val="lrTb"/>
            <w:noWrap w:val="false"/>
          </w:tcPr>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负责人：</w:t>
            </w:r>
            <w:r/>
          </w:p>
          <w:p>
            <w:pPr>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r>
            <w:r/>
          </w:p>
          <w:p>
            <w:pPr>
              <w:ind w:firstLine="945"/>
              <w:keepNext/>
              <w:spacing w:line="0" w:lineRule="atLeast"/>
              <w:rPr>
                <w:rFonts w:hint="eastAsia" w:ascii="新宋体" w:hAnsi="新宋体" w:eastAsia="新宋体" w:cs="新宋体"/>
                <w:color w:val="000000"/>
                <w:szCs w:val="21"/>
                <w:highlight w:val="none"/>
              </w:rPr>
            </w:pPr>
            <w:r>
              <w:rPr>
                <w:rFonts w:hint="eastAsia" w:ascii="新宋体" w:hAnsi="新宋体" w:eastAsia="新宋体" w:cs="新宋体"/>
                <w:color w:val="000000"/>
                <w:szCs w:val="21"/>
                <w:highlight w:val="none"/>
              </w:rPr>
              <w:t xml:space="preserve">年  月  日</w:t>
            </w:r>
            <w:r/>
          </w:p>
        </w:tc>
      </w:tr>
    </w:tbl>
    <w:p>
      <w:pPr>
        <w:ind w:left="560"/>
        <w:keepNext/>
        <w:spacing w:line="240" w:lineRule="atLeast"/>
        <w:rPr>
          <w:rFonts w:hint="eastAsia" w:ascii="宋体" w:hAnsi="宋体" w:cs="宋体"/>
          <w:color w:val="000000"/>
          <w:highlight w:val="none"/>
        </w:rPr>
        <w:outlineLvl w:val="0"/>
      </w:pPr>
      <w:r>
        <w:rPr>
          <w:rFonts w:hint="eastAsia" w:ascii="宋体" w:hAnsi="宋体" w:cs="宋体"/>
          <w:color w:val="000000"/>
          <w:highlight w:val="none"/>
        </w:rPr>
      </w:r>
      <w:r/>
    </w:p>
    <w:p>
      <w:pPr>
        <w:keepNext/>
        <w:spacing w:line="240" w:lineRule="atLeast"/>
        <w:rPr>
          <w:rFonts w:hint="eastAsia" w:ascii="宋体" w:hAnsi="宋体" w:cs="宋体"/>
          <w:color w:val="000000"/>
          <w:highlight w:val="none"/>
        </w:rPr>
      </w:pPr>
      <w:r>
        <w:rPr>
          <w:rFonts w:hint="eastAsia" w:ascii="宋体" w:hAnsi="宋体" w:cs="宋体"/>
          <w:color w:val="000000"/>
          <w:highlight w:val="none"/>
        </w:rPr>
      </w:r>
      <w:r/>
    </w:p>
    <w:p>
      <w:pPr>
        <w:keepNext/>
        <w:rPr>
          <w:rFonts w:hint="eastAsia" w:ascii="宋体" w:hAnsi="宋体" w:cs="宋体"/>
          <w:color w:val="000000"/>
          <w:highlight w:val="none"/>
        </w:rPr>
        <w:sectPr>
          <w:footerReference w:type="default" r:id="rId14"/>
          <w:footnotePr/>
          <w:endnotePr/>
          <w:type w:val="continuous"/>
          <w:pgSz w:w="11906" w:h="16838" w:orient="portrait"/>
          <w:pgMar w:top="1418" w:right="1418" w:bottom="1418" w:left="1418" w:header="851" w:footer="680" w:gutter="0"/>
          <w:pgNumType w:start="28"/>
          <w:cols w:num="1" w:sep="0" w:space="1701" w:equalWidth="1"/>
          <w:docGrid w:linePitch="360"/>
        </w:sectPr>
      </w:pPr>
      <w:r>
        <w:rPr>
          <w:rFonts w:hint="eastAsia" w:ascii="宋体" w:hAnsi="宋体" w:cs="宋体"/>
          <w:color w:val="000000"/>
          <w:highlight w:val="none"/>
        </w:rPr>
        <w:br w:type="page" w:clear="all"/>
      </w:r>
      <w:r/>
    </w:p>
    <w:p>
      <w:pPr>
        <w:keepNex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附件4、项目验收单</w:t>
      </w:r>
      <w:r/>
    </w:p>
    <w:p>
      <w:pPr>
        <w:jc w:val="center"/>
        <w:keepNext/>
        <w:rPr>
          <w:rFonts w:ascii="黑体" w:eastAsia="黑体"/>
          <w:color w:val="000000"/>
          <w:sz w:val="36"/>
          <w:szCs w:val="36"/>
          <w:highlight w:val="none"/>
        </w:rPr>
      </w:pPr>
      <w:r>
        <w:rPr>
          <w:rFonts w:hint="eastAsia" w:ascii="黑体" w:eastAsia="黑体"/>
          <w:color w:val="000000"/>
          <w:sz w:val="36"/>
          <w:szCs w:val="36"/>
          <w:highlight w:val="none"/>
        </w:rPr>
        <w:t xml:space="preserve">项目验收单</w:t>
      </w:r>
      <w:r/>
    </w:p>
    <w:p>
      <w:pPr>
        <w:keepNext/>
        <w:rPr>
          <w:rFonts w:ascii="黑体" w:eastAsia="黑体"/>
          <w:color w:val="000000"/>
          <w:szCs w:val="21"/>
          <w:highlight w:val="none"/>
        </w:rPr>
      </w:pPr>
      <w:r>
        <w:rPr>
          <w:rFonts w:hint="eastAsia"/>
          <w:color w:val="000000"/>
          <w:szCs w:val="21"/>
          <w:highlight w:val="none"/>
        </w:rPr>
        <w:t xml:space="preserve">项目名称：</w:t>
      </w:r>
      <w:r>
        <w:rPr>
          <w:color w:val="000000"/>
          <w:szCs w:val="21"/>
          <w:highlight w:val="none"/>
        </w:rPr>
        <w:t xml:space="preserve"> </w:t>
      </w:r>
      <w:r>
        <w:rPr>
          <w:rFonts w:hint="eastAsia" w:ascii="宋体"/>
          <w:color w:val="000000"/>
          <w:szCs w:val="21"/>
          <w:highlight w:val="none"/>
        </w:rPr>
        <w:t xml:space="preserve"> </w:t>
      </w:r>
      <w:r>
        <w:rPr>
          <w:color w:val="000000"/>
          <w:szCs w:val="21"/>
          <w:highlight w:val="none"/>
        </w:rPr>
        <w:t xml:space="preserve">                                   </w:t>
      </w:r>
      <w:r>
        <w:rPr>
          <w:rFonts w:hint="eastAsia"/>
          <w:color w:val="000000"/>
          <w:szCs w:val="21"/>
          <w:highlight w:val="none"/>
        </w:rPr>
        <w:t xml:space="preserve">              </w:t>
      </w:r>
      <w:r>
        <w:rPr>
          <w:rFonts w:hint="eastAsia"/>
          <w:color w:val="000000"/>
          <w:szCs w:val="21"/>
          <w:highlight w:val="none"/>
          <w:lang w:val="en-US" w:eastAsia="zh-CN"/>
        </w:rPr>
        <w:t xml:space="preserve">                                </w:t>
      </w:r>
      <w:r>
        <w:rPr>
          <w:rFonts w:hint="eastAsia"/>
          <w:color w:val="000000"/>
          <w:szCs w:val="21"/>
          <w:highlight w:val="none"/>
        </w:rPr>
        <w:t xml:space="preserve">验收日期：</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日</w:t>
      </w:r>
      <w:r/>
    </w:p>
    <w:tbl>
      <w:tblPr>
        <w:tblStyle w:val="1086"/>
        <w:tblW w:w="13975"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413"/>
        <w:gridCol w:w="2467"/>
        <w:gridCol w:w="908"/>
        <w:gridCol w:w="193"/>
        <w:gridCol w:w="3422"/>
        <w:gridCol w:w="3422"/>
      </w:tblGrid>
      <w:tr>
        <w:trPr>
          <w:trHeight w:val="507"/>
        </w:trPr>
        <w:tc>
          <w:tcPr>
            <w:tcW w:w="1150" w:type="dxa"/>
            <w:vAlign w:val="center"/>
            <w:textDirection w:val="lrTb"/>
            <w:noWrap w:val="false"/>
          </w:tcPr>
          <w:p>
            <w:pPr>
              <w:jc w:val="center"/>
              <w:keepNext/>
              <w:rPr>
                <w:color w:val="000000"/>
                <w:szCs w:val="21"/>
                <w:highlight w:val="none"/>
              </w:rPr>
            </w:pPr>
            <w:r>
              <w:rPr>
                <w:rFonts w:hint="eastAsia"/>
                <w:color w:val="000000"/>
                <w:szCs w:val="21"/>
                <w:highlight w:val="none"/>
              </w:rPr>
              <w:t xml:space="preserve">建设单位</w:t>
            </w:r>
            <w:r/>
          </w:p>
        </w:tc>
        <w:tc>
          <w:tcPr>
            <w:gridSpan w:val="2"/>
            <w:tcW w:w="4880" w:type="dxa"/>
            <w:vAlign w:val="center"/>
            <w:textDirection w:val="lrTb"/>
            <w:noWrap w:val="false"/>
          </w:tcPr>
          <w:p>
            <w:pPr>
              <w:keepNext/>
              <w:rPr>
                <w:rFonts w:hint="eastAsia"/>
                <w:color w:val="000000"/>
                <w:szCs w:val="21"/>
                <w:highlight w:val="none"/>
              </w:rPr>
            </w:pPr>
            <w:r>
              <w:rPr>
                <w:rFonts w:hint="eastAsia" w:ascii="宋体"/>
                <w:color w:val="000000"/>
                <w:szCs w:val="21"/>
                <w:highlight w:val="none"/>
              </w:rPr>
              <w:t xml:space="preserve"> </w:t>
            </w:r>
            <w:r/>
          </w:p>
        </w:tc>
        <w:tc>
          <w:tcPr>
            <w:gridSpan w:val="2"/>
            <w:tcW w:w="1101" w:type="dxa"/>
            <w:vAlign w:val="center"/>
            <w:textDirection w:val="lrTb"/>
            <w:noWrap w:val="false"/>
          </w:tcPr>
          <w:p>
            <w:pPr>
              <w:jc w:val="center"/>
              <w:keepNext/>
              <w:rPr>
                <w:color w:val="000000"/>
                <w:szCs w:val="21"/>
                <w:highlight w:val="none"/>
              </w:rPr>
            </w:pPr>
            <w:r>
              <w:rPr>
                <w:rFonts w:hint="eastAsia"/>
                <w:color w:val="000000"/>
                <w:szCs w:val="21"/>
                <w:highlight w:val="none"/>
              </w:rPr>
              <w:t xml:space="preserve">监理单位</w:t>
            </w:r>
            <w:r/>
          </w:p>
        </w:tc>
        <w:tc>
          <w:tcPr>
            <w:gridSpan w:val="2"/>
            <w:tcW w:w="6844" w:type="dxa"/>
            <w:vAlign w:val="center"/>
            <w:textDirection w:val="lrTb"/>
            <w:noWrap w:val="false"/>
          </w:tcPr>
          <w:p>
            <w:pPr>
              <w:jc w:val="center"/>
              <w:keepNext/>
              <w:rPr>
                <w:rFonts w:hint="eastAsia" w:ascii="宋体"/>
                <w:color w:val="000000"/>
                <w:szCs w:val="21"/>
                <w:highlight w:val="none"/>
              </w:rPr>
            </w:pPr>
            <w:r>
              <w:rPr>
                <w:rFonts w:hint="eastAsia" w:ascii="宋体"/>
                <w:color w:val="000000"/>
                <w:szCs w:val="21"/>
                <w:highlight w:val="none"/>
              </w:rPr>
              <w:t xml:space="preserve"> </w:t>
            </w:r>
            <w:r/>
          </w:p>
        </w:tc>
      </w:tr>
      <w:tr>
        <w:trPr>
          <w:trHeight w:val="507"/>
        </w:trPr>
        <w:tc>
          <w:tcPr>
            <w:tcW w:w="1150" w:type="dxa"/>
            <w:vAlign w:val="center"/>
            <w:textDirection w:val="lrTb"/>
            <w:noWrap w:val="false"/>
          </w:tcPr>
          <w:p>
            <w:pPr>
              <w:jc w:val="center"/>
              <w:keepNext/>
              <w:rPr>
                <w:color w:val="000000"/>
                <w:szCs w:val="21"/>
                <w:highlight w:val="none"/>
              </w:rPr>
            </w:pPr>
            <w:r>
              <w:rPr>
                <w:rFonts w:hint="eastAsia" w:ascii="新宋体" w:hAnsi="新宋体" w:eastAsia="新宋体" w:cs="新宋体"/>
                <w:color w:val="000000"/>
                <w:szCs w:val="21"/>
                <w:highlight w:val="none"/>
                <w:lang w:eastAsia="zh-CN"/>
              </w:rPr>
              <w:t xml:space="preserve">养护</w:t>
            </w:r>
            <w:r>
              <w:rPr>
                <w:rFonts w:hint="eastAsia"/>
                <w:color w:val="000000"/>
                <w:szCs w:val="21"/>
                <w:highlight w:val="none"/>
              </w:rPr>
              <w:t xml:space="preserve">单位</w:t>
            </w:r>
            <w:r/>
          </w:p>
        </w:tc>
        <w:tc>
          <w:tcPr>
            <w:gridSpan w:val="2"/>
            <w:tcW w:w="4880" w:type="dxa"/>
            <w:vAlign w:val="center"/>
            <w:textDirection w:val="lrTb"/>
            <w:noWrap w:val="false"/>
          </w:tcPr>
          <w:p>
            <w:pPr>
              <w:jc w:val="center"/>
              <w:keepNext/>
              <w:rPr>
                <w:rFonts w:hint="eastAsia"/>
                <w:color w:val="000000"/>
                <w:szCs w:val="21"/>
                <w:highlight w:val="none"/>
              </w:rPr>
            </w:pPr>
            <w:r>
              <w:rPr>
                <w:rFonts w:hint="eastAsia" w:ascii="宋体"/>
                <w:color w:val="000000"/>
                <w:szCs w:val="21"/>
                <w:highlight w:val="none"/>
              </w:rPr>
              <w:t xml:space="preserve"> </w:t>
            </w:r>
            <w:r/>
          </w:p>
        </w:tc>
        <w:tc>
          <w:tcPr>
            <w:gridSpan w:val="2"/>
            <w:tcW w:w="1101" w:type="dxa"/>
            <w:vAlign w:val="center"/>
            <w:textDirection w:val="lrTb"/>
            <w:noWrap w:val="false"/>
          </w:tcPr>
          <w:p>
            <w:pPr>
              <w:jc w:val="center"/>
              <w:keepNext/>
              <w:rPr>
                <w:color w:val="000000"/>
                <w:szCs w:val="21"/>
                <w:highlight w:val="none"/>
              </w:rPr>
            </w:pPr>
            <w:r>
              <w:rPr>
                <w:rFonts w:hint="eastAsia"/>
                <w:color w:val="000000"/>
                <w:szCs w:val="21"/>
                <w:highlight w:val="none"/>
              </w:rPr>
              <w:t xml:space="preserve">审计单位</w:t>
            </w:r>
            <w:r/>
          </w:p>
        </w:tc>
        <w:tc>
          <w:tcPr>
            <w:gridSpan w:val="2"/>
            <w:tcW w:w="6844" w:type="dxa"/>
            <w:vAlign w:val="center"/>
            <w:textDirection w:val="lrTb"/>
            <w:noWrap w:val="false"/>
          </w:tcPr>
          <w:p>
            <w:pPr>
              <w:jc w:val="center"/>
              <w:keepNext/>
              <w:rPr>
                <w:color w:val="000000"/>
                <w:szCs w:val="21"/>
                <w:highlight w:val="none"/>
              </w:rPr>
            </w:pPr>
            <w:r>
              <w:rPr>
                <w:color w:val="000000"/>
                <w:szCs w:val="21"/>
                <w:highlight w:val="none"/>
              </w:rPr>
            </w:r>
            <w:r/>
          </w:p>
        </w:tc>
      </w:tr>
      <w:tr>
        <w:trPr>
          <w:trHeight w:val="1169"/>
        </w:trPr>
        <w:tc>
          <w:tcPr>
            <w:tcW w:w="1150" w:type="dxa"/>
            <w:vAlign w:val="center"/>
            <w:textDirection w:val="tbRlV"/>
            <w:noWrap w:val="false"/>
          </w:tcPr>
          <w:p>
            <w:pPr>
              <w:ind w:left="113" w:right="113"/>
              <w:jc w:val="center"/>
              <w:keepNext/>
              <w:rPr>
                <w:rFonts w:hint="eastAsia"/>
                <w:color w:val="000000"/>
                <w:szCs w:val="21"/>
                <w:highlight w:val="none"/>
              </w:rPr>
            </w:pPr>
            <w:r>
              <w:rPr>
                <w:rFonts w:hint="eastAsia"/>
                <w:color w:val="000000"/>
                <w:szCs w:val="21"/>
                <w:highlight w:val="none"/>
              </w:rPr>
              <w:t xml:space="preserve">本次验收项目概况</w:t>
            </w:r>
            <w:r/>
          </w:p>
        </w:tc>
        <w:tc>
          <w:tcPr>
            <w:gridSpan w:val="6"/>
            <w:tcW w:w="12825" w:type="dxa"/>
            <w:vAlign w:val="top"/>
            <w:textDirection w:val="lrTb"/>
            <w:noWrap w:val="false"/>
          </w:tcPr>
          <w:p>
            <w:pPr>
              <w:keepNext/>
              <w:rPr>
                <w:color w:val="000000"/>
                <w:szCs w:val="21"/>
                <w:highlight w:val="none"/>
              </w:rPr>
            </w:pPr>
            <w:r>
              <w:rPr>
                <w:color w:val="000000"/>
                <w:szCs w:val="21"/>
                <w:highlight w:val="none"/>
              </w:rPr>
            </w:r>
            <w:r/>
          </w:p>
        </w:tc>
      </w:tr>
      <w:tr>
        <w:trPr>
          <w:trHeight w:val="1068"/>
        </w:trPr>
        <w:tc>
          <w:tcPr>
            <w:tcW w:w="1150" w:type="dxa"/>
            <w:vAlign w:val="center"/>
            <w:textDirection w:val="lrTb"/>
            <w:noWrap w:val="false"/>
          </w:tcPr>
          <w:p>
            <w:pPr>
              <w:jc w:val="center"/>
              <w:keepNext/>
              <w:rPr>
                <w:color w:val="000000"/>
                <w:szCs w:val="21"/>
                <w:highlight w:val="none"/>
              </w:rPr>
            </w:pPr>
            <w:r>
              <w:rPr>
                <w:rFonts w:hint="eastAsia"/>
                <w:color w:val="000000"/>
                <w:szCs w:val="21"/>
                <w:highlight w:val="none"/>
              </w:rPr>
              <w:t xml:space="preserve">验</w:t>
            </w:r>
            <w:r/>
          </w:p>
          <w:p>
            <w:pPr>
              <w:jc w:val="center"/>
              <w:keepNext/>
              <w:rPr>
                <w:color w:val="000000"/>
                <w:szCs w:val="21"/>
                <w:highlight w:val="none"/>
              </w:rPr>
            </w:pPr>
            <w:r>
              <w:rPr>
                <w:rFonts w:hint="eastAsia"/>
                <w:color w:val="000000"/>
                <w:szCs w:val="21"/>
                <w:highlight w:val="none"/>
              </w:rPr>
              <w:t xml:space="preserve">收</w:t>
            </w:r>
            <w:r/>
          </w:p>
          <w:p>
            <w:pPr>
              <w:jc w:val="center"/>
              <w:keepNext/>
              <w:rPr>
                <w:color w:val="000000"/>
                <w:szCs w:val="21"/>
                <w:highlight w:val="none"/>
              </w:rPr>
            </w:pPr>
            <w:r>
              <w:rPr>
                <w:rFonts w:hint="eastAsia"/>
                <w:color w:val="000000"/>
                <w:szCs w:val="21"/>
                <w:highlight w:val="none"/>
              </w:rPr>
              <w:t xml:space="preserve">意</w:t>
            </w:r>
            <w:r/>
          </w:p>
          <w:p>
            <w:pPr>
              <w:jc w:val="center"/>
              <w:keepNext/>
              <w:rPr>
                <w:color w:val="000000"/>
                <w:szCs w:val="21"/>
                <w:highlight w:val="none"/>
              </w:rPr>
            </w:pPr>
            <w:r>
              <w:rPr>
                <w:rFonts w:hint="eastAsia"/>
                <w:color w:val="000000"/>
                <w:szCs w:val="21"/>
                <w:highlight w:val="none"/>
              </w:rPr>
              <w:t xml:space="preserve">见</w:t>
            </w:r>
            <w:r/>
          </w:p>
        </w:tc>
        <w:tc>
          <w:tcPr>
            <w:gridSpan w:val="6"/>
            <w:tcW w:w="12825" w:type="dxa"/>
            <w:vAlign w:val="top"/>
            <w:textDirection w:val="lrTb"/>
            <w:noWrap w:val="false"/>
          </w:tcPr>
          <w:p>
            <w:pPr>
              <w:keepNext/>
              <w:rPr>
                <w:color w:val="000000"/>
                <w:szCs w:val="21"/>
                <w:highlight w:val="none"/>
              </w:rPr>
            </w:pPr>
            <w:r>
              <w:rPr>
                <w:color w:val="000000"/>
                <w:szCs w:val="21"/>
                <w:highlight w:val="none"/>
              </w:rPr>
            </w:r>
            <w:r/>
          </w:p>
          <w:p>
            <w:pPr>
              <w:ind w:firstLine="630"/>
              <w:keepNext/>
              <w:rPr>
                <w:rFonts w:hint="eastAsia"/>
                <w:color w:val="000000"/>
                <w:szCs w:val="21"/>
                <w:highlight w:val="none"/>
              </w:rPr>
            </w:pPr>
            <w:r>
              <w:rPr>
                <w:rFonts w:hint="eastAsia"/>
                <w:color w:val="000000"/>
                <w:szCs w:val="21"/>
                <w:highlight w:val="none"/>
              </w:rPr>
            </w:r>
            <w:r/>
          </w:p>
        </w:tc>
      </w:tr>
      <w:tr>
        <w:trPr>
          <w:trHeight w:val="440"/>
        </w:trPr>
        <w:tc>
          <w:tcPr>
            <w:gridSpan w:val="2"/>
            <w:tcW w:w="3563" w:type="dxa"/>
            <w:vAlign w:val="center"/>
            <w:textDirection w:val="lrTb"/>
            <w:noWrap w:val="false"/>
          </w:tcPr>
          <w:p>
            <w:pPr>
              <w:jc w:val="center"/>
              <w:keepNext/>
              <w:rPr>
                <w:color w:val="000000"/>
                <w:szCs w:val="21"/>
                <w:highlight w:val="none"/>
              </w:rPr>
            </w:pPr>
            <w:r>
              <w:rPr>
                <w:rFonts w:hint="eastAsia" w:ascii="新宋体" w:hAnsi="新宋体" w:eastAsia="新宋体" w:cs="新宋体"/>
                <w:color w:val="000000"/>
                <w:szCs w:val="21"/>
                <w:highlight w:val="none"/>
                <w:lang w:eastAsia="zh-CN"/>
              </w:rPr>
              <w:t xml:space="preserve">养护</w:t>
            </w:r>
            <w:r>
              <w:rPr>
                <w:rFonts w:hint="eastAsia"/>
                <w:color w:val="000000"/>
                <w:szCs w:val="21"/>
                <w:highlight w:val="none"/>
              </w:rPr>
              <w:t xml:space="preserve">单位</w:t>
            </w:r>
            <w:r/>
          </w:p>
        </w:tc>
        <w:tc>
          <w:tcPr>
            <w:gridSpan w:val="2"/>
            <w:tcW w:w="3375" w:type="dxa"/>
            <w:vAlign w:val="center"/>
            <w:textDirection w:val="lrTb"/>
            <w:noWrap w:val="false"/>
          </w:tcPr>
          <w:p>
            <w:pPr>
              <w:jc w:val="center"/>
              <w:keepNext/>
              <w:rPr>
                <w:color w:val="000000"/>
                <w:szCs w:val="21"/>
                <w:highlight w:val="none"/>
              </w:rPr>
            </w:pPr>
            <w:r>
              <w:rPr>
                <w:rFonts w:hint="eastAsia"/>
                <w:color w:val="000000"/>
                <w:szCs w:val="21"/>
                <w:highlight w:val="none"/>
              </w:rPr>
              <w:t xml:space="preserve">监理单位</w:t>
            </w:r>
            <w:r/>
          </w:p>
        </w:tc>
        <w:tc>
          <w:tcPr>
            <w:gridSpan w:val="2"/>
            <w:tcW w:w="3615" w:type="dxa"/>
            <w:vAlign w:val="center"/>
            <w:textDirection w:val="lrTb"/>
            <w:noWrap w:val="false"/>
          </w:tcPr>
          <w:p>
            <w:pPr>
              <w:jc w:val="center"/>
              <w:keepNext/>
              <w:rPr>
                <w:color w:val="000000"/>
                <w:szCs w:val="21"/>
                <w:highlight w:val="none"/>
              </w:rPr>
            </w:pPr>
            <w:r>
              <w:rPr>
                <w:rFonts w:hint="eastAsia"/>
                <w:color w:val="000000"/>
                <w:szCs w:val="21"/>
                <w:highlight w:val="none"/>
              </w:rPr>
              <w:t xml:space="preserve">审计单位</w:t>
            </w:r>
            <w:r/>
          </w:p>
        </w:tc>
        <w:tc>
          <w:tcPr>
            <w:tcW w:w="3422" w:type="dxa"/>
            <w:vAlign w:val="center"/>
            <w:textDirection w:val="lrTb"/>
            <w:noWrap w:val="false"/>
          </w:tcPr>
          <w:p>
            <w:pPr>
              <w:jc w:val="center"/>
              <w:keepNext/>
              <w:rPr>
                <w:rFonts w:hint="eastAsia"/>
                <w:color w:val="000000"/>
                <w:szCs w:val="21"/>
                <w:highlight w:val="none"/>
              </w:rPr>
            </w:pPr>
            <w:r>
              <w:rPr>
                <w:rFonts w:hint="eastAsia"/>
                <w:color w:val="000000"/>
                <w:szCs w:val="21"/>
                <w:highlight w:val="none"/>
              </w:rPr>
              <w:t xml:space="preserve">建设单位</w:t>
            </w:r>
            <w:r/>
          </w:p>
        </w:tc>
      </w:tr>
      <w:tr>
        <w:trPr>
          <w:trHeight w:val="2380"/>
        </w:trPr>
        <w:tc>
          <w:tcPr>
            <w:gridSpan w:val="2"/>
            <w:tcW w:w="3563" w:type="dxa"/>
            <w:vAlign w:val="top"/>
            <w:textDirection w:val="lrTb"/>
            <w:noWrap w:val="false"/>
          </w:tcPr>
          <w:p>
            <w:pPr>
              <w:keepNext/>
              <w:rPr>
                <w:color w:val="000000"/>
                <w:szCs w:val="21"/>
                <w:highlight w:val="none"/>
              </w:rPr>
            </w:pPr>
            <w:r>
              <w:rPr>
                <w:color w:val="000000"/>
                <w:szCs w:val="21"/>
                <w:highlight w:val="none"/>
              </w:rPr>
            </w:r>
            <w:r/>
          </w:p>
          <w:p>
            <w:pPr>
              <w:keepNext/>
              <w:rPr>
                <w:color w:val="000000"/>
                <w:szCs w:val="21"/>
                <w:highlight w:val="none"/>
              </w:rPr>
            </w:pPr>
            <w:r>
              <w:rPr>
                <w:rFonts w:hint="eastAsia"/>
                <w:color w:val="000000"/>
                <w:szCs w:val="21"/>
                <w:highlight w:val="none"/>
              </w:rPr>
              <w:t xml:space="preserve">项目负责人：</w:t>
            </w:r>
            <w:r/>
          </w:p>
          <w:p>
            <w:pPr>
              <w:jc w:val="center"/>
              <w:keepNext/>
              <w:rPr>
                <w:color w:val="000000"/>
                <w:szCs w:val="21"/>
                <w:highlight w:val="none"/>
              </w:rPr>
            </w:pPr>
            <w:r>
              <w:rPr>
                <w:color w:val="000000"/>
                <w:szCs w:val="21"/>
                <w:highlight w:val="none"/>
              </w:rPr>
            </w:r>
            <w:r/>
          </w:p>
          <w:p>
            <w:pPr>
              <w:keepNext/>
              <w:rPr>
                <w:color w:val="000000"/>
                <w:szCs w:val="21"/>
                <w:highlight w:val="none"/>
              </w:rPr>
            </w:pPr>
            <w:r>
              <w:rPr>
                <w:rFonts w:hint="eastAsia"/>
                <w:color w:val="000000"/>
                <w:szCs w:val="21"/>
                <w:highlight w:val="none"/>
              </w:rPr>
              <w:t xml:space="preserve">（签字）</w:t>
            </w:r>
            <w:r/>
          </w:p>
          <w:p>
            <w:pPr>
              <w:keepNext/>
              <w:rPr>
                <w:color w:val="000000"/>
                <w:szCs w:val="21"/>
                <w:highlight w:val="none"/>
              </w:rPr>
            </w:pPr>
            <w:r>
              <w:rPr>
                <w:rFonts w:hint="eastAsia"/>
                <w:color w:val="000000"/>
                <w:szCs w:val="21"/>
                <w:highlight w:val="none"/>
              </w:rPr>
              <w:t xml:space="preserve">（盖章）</w:t>
            </w:r>
            <w:r/>
          </w:p>
          <w:p>
            <w:pPr>
              <w:jc w:val="center"/>
              <w:keepNext/>
              <w:rPr>
                <w:color w:val="000000"/>
                <w:szCs w:val="21"/>
                <w:highlight w:val="none"/>
              </w:rPr>
            </w:pPr>
            <w:r>
              <w:rPr>
                <w:color w:val="000000"/>
                <w:szCs w:val="21"/>
                <w:highlight w:val="none"/>
              </w:rPr>
            </w:r>
            <w:r/>
          </w:p>
          <w:p>
            <w:pPr>
              <w:keepNext/>
              <w:rPr>
                <w:rFonts w:hint="eastAsia"/>
                <w:color w:val="000000"/>
                <w:szCs w:val="21"/>
                <w:highlight w:val="none"/>
              </w:rPr>
            </w:pPr>
            <w:r>
              <w:rPr>
                <w:rFonts w:hint="eastAsia"/>
                <w:color w:val="000000"/>
                <w:szCs w:val="21"/>
                <w:highlight w:val="none"/>
              </w:rPr>
            </w:r>
            <w:r/>
          </w:p>
          <w:p>
            <w:pPr>
              <w:ind w:firstLine="1995"/>
              <w:keepNext/>
              <w:rPr>
                <w:color w:val="000000"/>
                <w:szCs w:val="21"/>
                <w:highlight w:val="none"/>
              </w:rPr>
            </w:pP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p>
        </w:tc>
        <w:tc>
          <w:tcPr>
            <w:gridSpan w:val="2"/>
            <w:tcW w:w="3375" w:type="dxa"/>
            <w:vAlign w:val="top"/>
            <w:textDirection w:val="lrTb"/>
            <w:noWrap w:val="false"/>
          </w:tcPr>
          <w:p>
            <w:pPr>
              <w:keepNext/>
              <w:rPr>
                <w:color w:val="000000"/>
                <w:szCs w:val="21"/>
                <w:highlight w:val="none"/>
              </w:rPr>
            </w:pPr>
            <w:r>
              <w:rPr>
                <w:color w:val="000000"/>
                <w:szCs w:val="21"/>
                <w:highlight w:val="none"/>
              </w:rPr>
            </w:r>
            <w:r/>
          </w:p>
          <w:p>
            <w:pPr>
              <w:keepNext/>
              <w:rPr>
                <w:color w:val="000000"/>
                <w:szCs w:val="21"/>
                <w:highlight w:val="none"/>
              </w:rPr>
            </w:pPr>
            <w:r>
              <w:rPr>
                <w:rFonts w:hint="eastAsia"/>
                <w:color w:val="000000"/>
                <w:szCs w:val="21"/>
                <w:highlight w:val="none"/>
              </w:rPr>
              <w:t xml:space="preserve">项目负责人：</w:t>
            </w:r>
            <w:r/>
          </w:p>
          <w:p>
            <w:pPr>
              <w:keepNext/>
              <w:rPr>
                <w:color w:val="000000"/>
                <w:szCs w:val="21"/>
                <w:highlight w:val="none"/>
              </w:rPr>
            </w:pPr>
            <w:r>
              <w:rPr>
                <w:color w:val="000000"/>
                <w:szCs w:val="21"/>
                <w:highlight w:val="none"/>
              </w:rPr>
            </w:r>
            <w:r/>
          </w:p>
          <w:p>
            <w:pPr>
              <w:keepNext/>
              <w:rPr>
                <w:color w:val="000000"/>
                <w:szCs w:val="21"/>
                <w:highlight w:val="none"/>
              </w:rPr>
            </w:pPr>
            <w:r>
              <w:rPr>
                <w:rFonts w:hint="eastAsia"/>
                <w:color w:val="000000"/>
                <w:szCs w:val="21"/>
                <w:highlight w:val="none"/>
              </w:rPr>
              <w:t xml:space="preserve">（签字）</w:t>
            </w:r>
            <w:r/>
          </w:p>
          <w:p>
            <w:pPr>
              <w:keepNext/>
              <w:rPr>
                <w:color w:val="000000"/>
                <w:szCs w:val="21"/>
                <w:highlight w:val="none"/>
              </w:rPr>
            </w:pPr>
            <w:r>
              <w:rPr>
                <w:rFonts w:hint="eastAsia"/>
                <w:color w:val="000000"/>
                <w:szCs w:val="21"/>
                <w:highlight w:val="none"/>
              </w:rPr>
              <w:t xml:space="preserve">（盖章）</w:t>
            </w:r>
            <w:r/>
          </w:p>
          <w:p>
            <w:pPr>
              <w:jc w:val="center"/>
              <w:keepNext/>
              <w:rPr>
                <w:color w:val="000000"/>
                <w:szCs w:val="21"/>
                <w:highlight w:val="none"/>
              </w:rPr>
            </w:pPr>
            <w:r>
              <w:rPr>
                <w:color w:val="000000"/>
                <w:szCs w:val="21"/>
                <w:highlight w:val="none"/>
              </w:rPr>
            </w:r>
            <w:r/>
          </w:p>
          <w:p>
            <w:pPr>
              <w:keepNext/>
              <w:rPr>
                <w:rFonts w:hint="eastAsia"/>
                <w:color w:val="000000"/>
                <w:szCs w:val="21"/>
                <w:highlight w:val="none"/>
              </w:rPr>
            </w:pPr>
            <w:r>
              <w:rPr>
                <w:rFonts w:hint="eastAsia"/>
                <w:color w:val="000000"/>
                <w:szCs w:val="21"/>
                <w:highlight w:val="none"/>
              </w:rPr>
            </w:r>
            <w:r/>
          </w:p>
          <w:p>
            <w:pPr>
              <w:ind w:firstLine="1890"/>
              <w:keepNext/>
              <w:rPr>
                <w:color w:val="000000"/>
                <w:szCs w:val="21"/>
                <w:highlight w:val="none"/>
              </w:rPr>
            </w:pP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p>
        </w:tc>
        <w:tc>
          <w:tcPr>
            <w:gridSpan w:val="2"/>
            <w:tcW w:w="3615" w:type="dxa"/>
            <w:vAlign w:val="top"/>
            <w:textDirection w:val="lrTb"/>
            <w:noWrap w:val="false"/>
          </w:tcPr>
          <w:p>
            <w:pPr>
              <w:keepNext/>
              <w:rPr>
                <w:color w:val="000000"/>
                <w:szCs w:val="21"/>
                <w:highlight w:val="none"/>
              </w:rPr>
            </w:pPr>
            <w:r>
              <w:rPr>
                <w:color w:val="000000"/>
                <w:szCs w:val="21"/>
                <w:highlight w:val="none"/>
              </w:rPr>
            </w:r>
            <w:r/>
          </w:p>
          <w:p>
            <w:pPr>
              <w:keepNext/>
              <w:rPr>
                <w:color w:val="000000"/>
                <w:szCs w:val="21"/>
                <w:highlight w:val="none"/>
              </w:rPr>
            </w:pPr>
            <w:r>
              <w:rPr>
                <w:rFonts w:hint="eastAsia"/>
                <w:color w:val="000000"/>
                <w:szCs w:val="21"/>
                <w:highlight w:val="none"/>
              </w:rPr>
              <w:t xml:space="preserve">项目负责人：</w:t>
            </w:r>
            <w:r/>
          </w:p>
          <w:p>
            <w:pPr>
              <w:keepNext/>
              <w:rPr>
                <w:color w:val="000000"/>
                <w:szCs w:val="21"/>
                <w:highlight w:val="none"/>
              </w:rPr>
            </w:pPr>
            <w:r>
              <w:rPr>
                <w:color w:val="000000"/>
                <w:szCs w:val="21"/>
                <w:highlight w:val="none"/>
              </w:rPr>
            </w:r>
            <w:r/>
          </w:p>
          <w:p>
            <w:pPr>
              <w:keepNext/>
              <w:rPr>
                <w:color w:val="000000"/>
                <w:szCs w:val="21"/>
                <w:highlight w:val="none"/>
              </w:rPr>
            </w:pPr>
            <w:r>
              <w:rPr>
                <w:rFonts w:hint="eastAsia"/>
                <w:color w:val="000000"/>
                <w:szCs w:val="21"/>
                <w:highlight w:val="none"/>
              </w:rPr>
              <w:t xml:space="preserve">（签字）</w:t>
            </w:r>
            <w:r/>
          </w:p>
          <w:p>
            <w:pPr>
              <w:keepNext/>
              <w:rPr>
                <w:color w:val="000000"/>
                <w:szCs w:val="21"/>
                <w:highlight w:val="none"/>
              </w:rPr>
            </w:pPr>
            <w:r>
              <w:rPr>
                <w:rFonts w:hint="eastAsia"/>
                <w:color w:val="000000"/>
                <w:szCs w:val="21"/>
                <w:highlight w:val="none"/>
              </w:rPr>
              <w:t xml:space="preserve">（盖章）</w:t>
            </w:r>
            <w:r/>
          </w:p>
          <w:p>
            <w:pPr>
              <w:jc w:val="center"/>
              <w:keepNext/>
              <w:rPr>
                <w:color w:val="000000"/>
                <w:szCs w:val="21"/>
                <w:highlight w:val="none"/>
              </w:rPr>
            </w:pPr>
            <w:r>
              <w:rPr>
                <w:color w:val="000000"/>
                <w:szCs w:val="21"/>
                <w:highlight w:val="none"/>
              </w:rPr>
            </w:r>
            <w:r/>
          </w:p>
          <w:p>
            <w:pPr>
              <w:ind w:firstLine="525"/>
              <w:keepNext/>
              <w:rPr>
                <w:rFonts w:hint="eastAsia"/>
                <w:color w:val="000000"/>
                <w:szCs w:val="21"/>
                <w:highlight w:val="none"/>
              </w:rPr>
            </w:pPr>
            <w:r>
              <w:rPr>
                <w:rFonts w:hint="eastAsia"/>
                <w:color w:val="000000"/>
                <w:szCs w:val="21"/>
                <w:highlight w:val="none"/>
              </w:rPr>
            </w:r>
            <w:r/>
          </w:p>
          <w:p>
            <w:pPr>
              <w:ind w:firstLine="1785"/>
              <w:keepNext/>
              <w:rPr>
                <w:color w:val="000000"/>
                <w:szCs w:val="21"/>
                <w:highlight w:val="none"/>
              </w:rPr>
            </w:pPr>
            <w:r>
              <w:rPr>
                <w:color w:val="000000"/>
                <w:szCs w:val="21"/>
                <w:highlight w:val="none"/>
              </w:rPr>
              <w:t xml:space="preserve">   </w:t>
            </w: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p>
          <w:p>
            <w:pPr>
              <w:keepNext/>
              <w:rPr>
                <w:color w:val="000000"/>
                <w:szCs w:val="21"/>
                <w:highlight w:val="none"/>
              </w:rPr>
            </w:pPr>
            <w:r>
              <w:rPr>
                <w:color w:val="000000"/>
                <w:szCs w:val="21"/>
                <w:highlight w:val="none"/>
              </w:rPr>
            </w:r>
            <w:r/>
          </w:p>
        </w:tc>
        <w:tc>
          <w:tcPr>
            <w:tcW w:w="3422" w:type="dxa"/>
            <w:vAlign w:val="top"/>
            <w:textDirection w:val="lrTb"/>
            <w:noWrap w:val="false"/>
          </w:tcPr>
          <w:p>
            <w:pPr>
              <w:keepNext/>
              <w:rPr>
                <w:color w:val="000000"/>
                <w:szCs w:val="21"/>
                <w:highlight w:val="none"/>
              </w:rPr>
            </w:pPr>
            <w:r>
              <w:rPr>
                <w:rFonts w:hint="eastAsia"/>
                <w:color w:val="000000"/>
                <w:szCs w:val="21"/>
                <w:highlight w:val="none"/>
              </w:rPr>
              <w:t xml:space="preserve">项目负责人：</w:t>
            </w:r>
            <w:r/>
          </w:p>
          <w:p>
            <w:pPr>
              <w:keepNext/>
              <w:rPr>
                <w:color w:val="000000"/>
                <w:szCs w:val="21"/>
                <w:highlight w:val="none"/>
              </w:rPr>
            </w:pPr>
            <w:r>
              <w:rPr>
                <w:color w:val="000000"/>
                <w:szCs w:val="21"/>
                <w:highlight w:val="none"/>
              </w:rPr>
            </w:r>
            <w:r/>
          </w:p>
          <w:p>
            <w:pPr>
              <w:keepNext/>
              <w:rPr>
                <w:color w:val="000000"/>
                <w:szCs w:val="21"/>
                <w:highlight w:val="none"/>
              </w:rPr>
            </w:pPr>
            <w:r>
              <w:rPr>
                <w:rFonts w:hint="eastAsia"/>
                <w:color w:val="000000"/>
                <w:szCs w:val="21"/>
                <w:highlight w:val="none"/>
              </w:rPr>
              <w:t xml:space="preserve">（签字）</w:t>
            </w:r>
            <w:r/>
          </w:p>
          <w:p>
            <w:pPr>
              <w:keepNext/>
              <w:rPr>
                <w:color w:val="000000"/>
                <w:szCs w:val="21"/>
                <w:highlight w:val="none"/>
              </w:rPr>
            </w:pPr>
            <w:r>
              <w:rPr>
                <w:rFonts w:hint="eastAsia"/>
                <w:color w:val="000000"/>
                <w:szCs w:val="21"/>
                <w:highlight w:val="none"/>
              </w:rPr>
              <w:t xml:space="preserve">（盖章）</w:t>
            </w:r>
            <w:r/>
          </w:p>
          <w:p>
            <w:pPr>
              <w:jc w:val="center"/>
              <w:keepNext/>
              <w:rPr>
                <w:color w:val="000000"/>
                <w:szCs w:val="21"/>
                <w:highlight w:val="none"/>
              </w:rPr>
            </w:pPr>
            <w:r>
              <w:rPr>
                <w:color w:val="000000"/>
                <w:szCs w:val="21"/>
                <w:highlight w:val="none"/>
              </w:rPr>
            </w:r>
            <w:r/>
          </w:p>
          <w:p>
            <w:pPr>
              <w:ind w:firstLine="525"/>
              <w:keepNext/>
              <w:rPr>
                <w:color w:val="000000"/>
                <w:szCs w:val="21"/>
                <w:highlight w:val="none"/>
              </w:rPr>
            </w:pPr>
            <w:r>
              <w:rPr>
                <w:color w:val="000000"/>
                <w:szCs w:val="21"/>
                <w:highlight w:val="none"/>
              </w:rPr>
            </w:r>
            <w:r/>
          </w:p>
          <w:p>
            <w:pPr>
              <w:ind w:firstLine="525"/>
              <w:keepNext/>
              <w:rPr>
                <w:color w:val="000000"/>
                <w:szCs w:val="21"/>
                <w:highlight w:val="none"/>
              </w:rPr>
            </w:pPr>
            <w:r>
              <w:rPr>
                <w:color w:val="000000"/>
                <w:szCs w:val="21"/>
                <w:highlight w:val="none"/>
              </w:rPr>
            </w:r>
            <w:r/>
          </w:p>
          <w:p>
            <w:pPr>
              <w:ind w:firstLine="1785"/>
              <w:keepNext/>
              <w:rPr>
                <w:color w:val="000000"/>
                <w:szCs w:val="21"/>
                <w:highlight w:val="none"/>
              </w:rPr>
            </w:pPr>
            <w:r>
              <w:rPr>
                <w:color w:val="000000"/>
                <w:szCs w:val="21"/>
                <w:highlight w:val="none"/>
              </w:rPr>
              <w:t xml:space="preserve"> </w:t>
            </w: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p>
          <w:p>
            <w:pPr>
              <w:keepNext/>
              <w:rPr>
                <w:color w:val="000000"/>
                <w:szCs w:val="21"/>
                <w:highlight w:val="none"/>
              </w:rPr>
            </w:pPr>
            <w:r>
              <w:rPr>
                <w:color w:val="000000"/>
                <w:szCs w:val="21"/>
                <w:highlight w:val="none"/>
              </w:rPr>
            </w:r>
            <w:r/>
          </w:p>
        </w:tc>
      </w:tr>
    </w:tbl>
    <w:p>
      <w:pPr>
        <w:keepNext/>
        <w:rPr>
          <w:rFonts w:hint="eastAsia" w:ascii="黑体" w:hAnsi="Times New Roman" w:eastAsia="黑体"/>
          <w:bCs/>
          <w:color w:val="000000"/>
          <w:sz w:val="44"/>
          <w:szCs w:val="28"/>
          <w:highlight w:val="none"/>
        </w:rPr>
        <w:sectPr>
          <w:footerReference w:type="default" r:id="rId15"/>
          <w:footerReference w:type="first" r:id="rId16"/>
          <w:footnotePr/>
          <w:endnotePr/>
          <w:type w:val="continuous"/>
          <w:pgSz w:w="16838" w:h="11906" w:orient="landscape"/>
          <w:pgMar w:top="1080" w:right="1440" w:bottom="1080" w:left="1440" w:header="851" w:footer="907" w:gutter="0"/>
          <w:pgNumType w:start="28"/>
          <w:cols w:num="1" w:sep="0" w:space="1701" w:equalWidth="1"/>
          <w:docGrid w:linePitch="360"/>
          <w:titlePg/>
        </w:sectPr>
        <w:outlineLvl w:val="0"/>
      </w:pPr>
      <w:r>
        <w:rPr>
          <w:rFonts w:hint="eastAsia" w:ascii="黑体" w:hAnsi="Times New Roman" w:eastAsia="黑体"/>
          <w:bCs/>
          <w:color w:val="000000"/>
          <w:sz w:val="44"/>
          <w:szCs w:val="28"/>
          <w:highlight w:val="none"/>
        </w:rPr>
        <w:br w:type="page" w:clear="all"/>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color w:val="000000"/>
          <w:sz w:val="44"/>
          <w:szCs w:val="44"/>
          <w:highlight w:val="none"/>
        </w:rPr>
        <w:t xml:space="preserve">第六章  </w:t>
      </w:r>
      <w:bookmarkEnd w:id="127"/>
      <w:r/>
      <w:bookmarkEnd w:id="128"/>
      <w:r/>
      <w:bookmarkEnd w:id="129"/>
      <w:r>
        <w:rPr>
          <w:rFonts w:hint="eastAsia" w:ascii="黑体" w:hAnsi="Times New Roman" w:eastAsia="黑体"/>
          <w:color w:val="000000"/>
          <w:sz w:val="44"/>
          <w:szCs w:val="44"/>
          <w:highlight w:val="none"/>
        </w:rPr>
        <w:t xml:space="preserve">响应文件格式 </w:t>
      </w:r>
      <w:r/>
    </w:p>
    <w:p>
      <w:pPr>
        <w:jc w:val="center"/>
        <w:rPr>
          <w:rFonts w:hint="eastAsia" w:ascii="宋体" w:hAnsi="宋体"/>
          <w:b/>
          <w:color w:val="000000"/>
          <w:sz w:val="72"/>
          <w:szCs w:val="21"/>
          <w:highlight w:val="none"/>
        </w:rPr>
      </w:pPr>
      <w:r/>
      <w:bookmarkStart w:id="130" w:name="_Hlt26671244"/>
      <w:r/>
      <w:bookmarkEnd w:id="130"/>
      <w:r/>
      <w:bookmarkStart w:id="131" w:name="_Hlt26955039"/>
      <w:r/>
      <w:bookmarkEnd w:id="131"/>
      <w:r/>
      <w:bookmarkStart w:id="132" w:name="_Toc49090576"/>
      <w:r/>
      <w:bookmarkStart w:id="133" w:name="_Toc120614282"/>
      <w:r/>
      <w:bookmarkStart w:id="134" w:name="_Toc26554094"/>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四、磋商响应函</w:t>
      </w:r>
      <w:r/>
    </w:p>
    <w:p>
      <w:pPr>
        <w:ind w:firstLine="560"/>
        <w:spacing w:line="600" w:lineRule="exact"/>
        <w:rPr>
          <w:rFonts w:ascii="宋体" w:hAnsi="宋体" w:cs="宋体"/>
          <w:color w:val="000000"/>
          <w:sz w:val="28"/>
          <w:szCs w:val="28"/>
          <w:highlight w:val="none"/>
        </w:rPr>
      </w:pPr>
      <w:r>
        <w:rPr>
          <w:rFonts w:ascii="宋体" w:hAnsi="宋体" w:cs="宋体"/>
          <w:color w:val="000000"/>
          <w:sz w:val="28"/>
          <w:szCs w:val="28"/>
          <w:highlight w:val="none"/>
        </w:rPr>
        <w:t xml:space="preserve">五、</w:t>
      </w:r>
      <w:r>
        <w:rPr>
          <w:rFonts w:hint="eastAsia" w:ascii="宋体" w:hAnsi="宋体" w:cs="宋体"/>
          <w:color w:val="000000"/>
          <w:sz w:val="28"/>
          <w:szCs w:val="28"/>
          <w:highlight w:val="none"/>
        </w:rPr>
        <w:t xml:space="preserve">磋商报价表</w:t>
      </w:r>
      <w:r/>
    </w:p>
    <w:p>
      <w:pPr>
        <w:ind w:firstLine="560"/>
        <w:spacing w:line="600" w:lineRule="exact"/>
        <w:rPr>
          <w:rFonts w:hint="eastAsia" w:ascii="宋体" w:hAnsi="宋体" w:cs="宋体"/>
          <w:color w:val="000000"/>
          <w:sz w:val="28"/>
          <w:szCs w:val="28"/>
          <w:highlight w:val="none"/>
        </w:rPr>
      </w:pPr>
      <w:r>
        <w:rPr>
          <w:rFonts w:ascii="宋体" w:hAnsi="宋体" w:cs="宋体"/>
          <w:color w:val="000000"/>
          <w:sz w:val="28"/>
          <w:szCs w:val="28"/>
          <w:highlight w:val="none"/>
        </w:rPr>
        <w:t xml:space="preserve">六</w:t>
      </w:r>
      <w:r>
        <w:rPr>
          <w:rFonts w:hint="eastAsia" w:ascii="宋体" w:hAnsi="宋体" w:cs="宋体"/>
          <w:color w:val="000000"/>
          <w:sz w:val="28"/>
          <w:szCs w:val="28"/>
          <w:highlight w:val="none"/>
        </w:rPr>
        <w:t xml:space="preserve">、分项报价表（如有）</w:t>
      </w:r>
      <w:r/>
    </w:p>
    <w:p>
      <w:pPr>
        <w:ind w:firstLine="560"/>
        <w:spacing w:line="600" w:lineRule="exact"/>
        <w:rPr>
          <w:rFonts w:ascii="宋体" w:hAnsi="宋体"/>
          <w:color w:val="000000"/>
          <w:sz w:val="24"/>
          <w:highlight w:val="none"/>
        </w:rPr>
      </w:pPr>
      <w:r>
        <w:rPr>
          <w:rFonts w:hint="eastAsia" w:ascii="宋体" w:hAnsi="宋体" w:cs="宋体"/>
          <w:color w:val="000000"/>
          <w:sz w:val="28"/>
          <w:szCs w:val="28"/>
          <w:highlight w:val="none"/>
        </w:rPr>
        <w:t xml:space="preserve">七、技术要求响应及偏离表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八、商务要求响应及偏离表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九、中小企业声明函（如有）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十一、联合体协议（如有）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南京龙成工程咨询有限公司</w:t>
      </w:r>
      <w:r>
        <w:rPr>
          <w:rFonts w:hint="eastAsia" w:ascii="宋体" w:hAnsi="宋体"/>
          <w:color w:val="000000"/>
          <w:sz w:val="24"/>
          <w:szCs w:val="24"/>
          <w:highlight w:val="none"/>
        </w:rPr>
        <w:t xml:space="preserve">：</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如果我公司成交，将在成交结果公示后七个工作日内向采购人提供下列材料核验：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363"/>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1374"/>
        <w:rPr>
          <w:rFonts w:hint="eastAsia"/>
          <w:color w:val="000000"/>
          <w:highlight w:val="none"/>
        </w:rPr>
      </w:pPr>
      <w:r>
        <w:rPr>
          <w:rFonts w:hint="eastAsia"/>
          <w:color w:val="000000"/>
          <w:highlight w:val="none"/>
        </w:rPr>
      </w:r>
      <w:bookmarkEnd w:id="132"/>
      <w:r/>
      <w:bookmarkEnd w:id="133"/>
      <w:r/>
      <w:bookmarkEnd w:id="134"/>
      <w:r/>
      <w:r/>
    </w:p>
    <w:p>
      <w:pPr>
        <w:rPr>
          <w:rFonts w:hint="eastAsia" w:ascii="黑体" w:hAnsi="黑体" w:eastAsia="黑体"/>
          <w:color w:val="000000"/>
          <w:sz w:val="32"/>
          <w:szCs w:val="32"/>
          <w:highlight w:val="none"/>
        </w:rPr>
      </w:pPr>
      <w:r/>
      <w:bookmarkStart w:id="135" w:name="_Toc120614284"/>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二、特定资格要求的证明文件</w:t>
      </w:r>
      <w:r/>
    </w:p>
    <w:p>
      <w:pPr>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本项目申请人的特定资格要求中要求提供的材料。</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lef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0"/>
      </w:pPr>
      <w:r>
        <w:rPr>
          <w:rFonts w:hint="eastAsia" w:ascii="方正小标宋简体" w:hAnsi="方正小标宋简体" w:eastAsia="方正小标宋简体" w:cs="方正小标宋简体"/>
          <w:color w:val="000000"/>
          <w:sz w:val="32"/>
          <w:szCs w:val="32"/>
          <w:highlight w:val="none"/>
          <w:lang w:val="zh-CN"/>
        </w:rPr>
        <w:t xml:space="preserve">法人授权书</w:t>
      </w:r>
      <w:r/>
    </w:p>
    <w:p>
      <w:pPr>
        <w:pStyle w:val="1367"/>
        <w:ind w:firstLine="480"/>
        <w:spacing w:line="480" w:lineRule="auto"/>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（供应商名称）授权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（被授权人的姓名）作为我方就编号为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w:t>
      </w:r>
      <w:r>
        <w:rPr>
          <w:rFonts w:hint="eastAsia"/>
          <w:color w:val="000000"/>
          <w:sz w:val="24"/>
          <w:szCs w:val="24"/>
          <w:highlight w:val="none"/>
        </w:rPr>
        <w:t xml:space="preserve">项目采购活动的合法代理人，以本单位名义全权处理一切与该项目采购有关的事务。</w:t>
      </w:r>
      <w:r/>
    </w:p>
    <w:p>
      <w:pPr>
        <w:pStyle w:val="1367"/>
        <w:ind w:firstLine="480"/>
        <w:spacing w:line="480" w:lineRule="auto"/>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p>
    <w:p>
      <w:pPr>
        <w:pStyle w:val="1367"/>
        <w:ind w:firstLine="0"/>
        <w:spacing w:line="480" w:lineRule="auto"/>
        <w:rPr>
          <w:rFonts w:hint="eastAsia"/>
          <w:color w:val="000000"/>
          <w:sz w:val="24"/>
          <w:szCs w:val="24"/>
          <w:highlight w:val="none"/>
          <w:u w:val="single"/>
        </w:rPr>
      </w:pPr>
      <w:r>
        <w:rPr>
          <w:rFonts w:hint="eastAsia"/>
          <w:color w:val="000000"/>
          <w:sz w:val="24"/>
          <w:szCs w:val="24"/>
          <w:highlight w:val="none"/>
        </w:rPr>
        <w:t xml:space="preserve">    被授权人身份证号码：</w:t>
      </w:r>
      <w:r/>
    </w:p>
    <w:p>
      <w:pPr>
        <w:pStyle w:val="1367"/>
        <w:ind w:firstLine="480"/>
        <w:spacing w:line="480" w:lineRule="auto"/>
        <w:rPr>
          <w:rFonts w:hint="eastAsia" w:ascii="宋体" w:hAnsi="宋体" w:cs="宋体"/>
          <w:color w:val="000000"/>
          <w:sz w:val="24"/>
          <w:szCs w:val="24"/>
          <w:highlight w:val="none"/>
          <w:u w:val="single"/>
        </w:rPr>
      </w:pPr>
      <w:r>
        <w:rPr>
          <w:rFonts w:hint="eastAsia"/>
          <w:color w:val="000000"/>
          <w:sz w:val="24"/>
          <w:szCs w:val="24"/>
          <w:highlight w:val="none"/>
        </w:rPr>
        <w:t xml:space="preserve">被授权人联系电话：（手机）</w:t>
      </w:r>
      <w:r/>
    </w:p>
    <w:p>
      <w:pPr>
        <w:pStyle w:val="1367"/>
        <w:ind w:firstLine="480"/>
        <w:spacing w:line="480" w:lineRule="auto"/>
        <w:rPr>
          <w:color w:val="000000"/>
          <w:sz w:val="24"/>
          <w:szCs w:val="24"/>
          <w:highlight w:val="none"/>
        </w:rPr>
      </w:pPr>
      <w:r>
        <w:rPr>
          <w:rFonts w:hint="eastAsia"/>
          <w:color w:val="000000"/>
          <w:sz w:val="24"/>
          <w:szCs w:val="24"/>
          <w:highlight w:val="none"/>
        </w:rPr>
        <w:t xml:space="preserve">授权单位名称：</w:t>
      </w:r>
      <w:r>
        <w:rPr>
          <w:rFonts w:hint="eastAsia" w:ascii="宋体" w:hAnsi="宋体" w:cs="宋体"/>
          <w:color w:val="000000"/>
          <w:sz w:val="24"/>
          <w:szCs w:val="24"/>
          <w:highlight w:val="none"/>
        </w:rPr>
        <w:t xml:space="preserve">（加盖电子公章）</w:t>
      </w:r>
      <w:r/>
    </w:p>
    <w:p>
      <w:pPr>
        <w:pStyle w:val="1367"/>
        <w:ind w:firstLine="480"/>
        <w:spacing w:line="480" w:lineRule="auto"/>
        <w:rPr>
          <w:rFonts w:hint="eastAsia"/>
          <w:color w:val="000000"/>
          <w:sz w:val="24"/>
          <w:szCs w:val="24"/>
          <w:highlight w:val="none"/>
          <w:u w:val="single"/>
        </w:rPr>
      </w:pPr>
      <w:r>
        <w:rPr>
          <w:rFonts w:hint="eastAsia"/>
          <w:color w:val="000000"/>
          <w:sz w:val="24"/>
          <w:szCs w:val="24"/>
          <w:highlight w:val="none"/>
        </w:rPr>
        <w:t xml:space="preserve">单位地址：</w:t>
      </w:r>
      <w:r/>
    </w:p>
    <w:p>
      <w:pPr>
        <w:pStyle w:val="1367"/>
        <w:ind w:firstLine="480"/>
        <w:spacing w:line="480" w:lineRule="auto"/>
        <w:rPr>
          <w:rFonts w:hint="eastAsia"/>
          <w:color w:val="000000"/>
          <w:sz w:val="24"/>
          <w:szCs w:val="24"/>
          <w:highlight w:val="none"/>
        </w:rPr>
      </w:pPr>
      <w:r>
        <w:rPr>
          <w:rFonts w:hint="eastAsia"/>
          <w:color w:val="000000"/>
          <w:sz w:val="24"/>
          <w:szCs w:val="24"/>
          <w:highlight w:val="none"/>
        </w:rPr>
        <w:t xml:space="preserve">日    期：</w:t>
      </w:r>
      <w:bookmarkStart w:id="136" w:name="_格式3__银行出具的资信证明"/>
      <w:r/>
      <w:bookmarkEnd w:id="136"/>
      <w:r/>
      <w:bookmarkStart w:id="137" w:name="_Hlt26671380"/>
      <w:r/>
      <w:bookmarkEnd w:id="137"/>
      <w:r/>
      <w:bookmarkStart w:id="138" w:name="_Hlt26955070"/>
      <w:r/>
      <w:bookmarkEnd w:id="138"/>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0"/>
      </w:pPr>
      <w:r>
        <w:rPr>
          <w:rFonts w:hint="eastAsia" w:ascii="方正小标宋简体" w:hAnsi="方正小标宋简体" w:eastAsia="方正小标宋简体" w:cs="方正小标宋简体"/>
          <w:color w:val="000000"/>
          <w:sz w:val="32"/>
          <w:szCs w:val="32"/>
          <w:highlight w:val="none"/>
        </w:rPr>
        <w:t xml:space="preserve">磋商响应函</w:t>
      </w:r>
      <w:r/>
    </w:p>
    <w:p>
      <w:pPr>
        <w:jc w:val="left"/>
        <w:spacing w:line="360" w:lineRule="auto"/>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南京龙成工程咨询有限公司</w:t>
      </w:r>
      <w:r/>
    </w:p>
    <w:p>
      <w:pPr>
        <w:pStyle w:val="1378"/>
        <w:spacing w:before="0" w:after="0"/>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项目磋商文件，我方正式提</w:t>
      </w:r>
      <w:r>
        <w:rPr>
          <w:rFonts w:hint="eastAsia" w:ascii="宋体" w:hAnsi="宋体" w:cs="宋体"/>
          <w:color w:val="000000"/>
          <w:highlight w:val="none"/>
        </w:rPr>
        <w:t xml:space="preserve">交磋商响应函，</w:t>
      </w:r>
      <w:r>
        <w:rPr>
          <w:rFonts w:hint="eastAsia" w:ascii="宋体" w:hAnsi="宋体"/>
          <w:color w:val="000000"/>
          <w:szCs w:val="21"/>
          <w:highlight w:val="none"/>
        </w:rPr>
        <w:t xml:space="preserve">并宣布同意如下内容：</w:t>
      </w:r>
      <w:r/>
    </w:p>
    <w:p>
      <w:pPr>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1.按磋商文件规定的各项要求，向买方提供所需服务（包含与服务相关的货物）。</w:t>
      </w:r>
      <w:r/>
    </w:p>
    <w:p>
      <w:pPr>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p>
    <w:p>
      <w:pPr>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8.我方与本磋商有关的正式通讯地址为：</w:t>
      </w:r>
      <w:r/>
    </w:p>
    <w:p>
      <w:pPr>
        <w:pStyle w:val="1378"/>
        <w:spacing w:before="0" w:after="0"/>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1378"/>
        <w:spacing w:before="0" w:after="0"/>
        <w:rPr>
          <w:rFonts w:hint="eastAsia" w:ascii="宋体" w:hAnsi="宋体"/>
          <w:color w:val="000000"/>
          <w:szCs w:val="21"/>
          <w:highlight w:val="none"/>
        </w:rPr>
      </w:pPr>
      <w:r>
        <w:rPr>
          <w:rFonts w:hint="eastAsia" w:ascii="宋体" w:hAnsi="宋体"/>
          <w:color w:val="000000"/>
          <w:szCs w:val="21"/>
          <w:highlight w:val="none"/>
        </w:rPr>
        <w:t xml:space="preserve">邮  编：</w:t>
      </w:r>
      <w:r/>
    </w:p>
    <w:p>
      <w:pPr>
        <w:pStyle w:val="1378"/>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电  话：</w:t>
      </w:r>
      <w:r/>
    </w:p>
    <w:p>
      <w:pPr>
        <w:pStyle w:val="1378"/>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传  真：</w:t>
      </w:r>
      <w:r/>
    </w:p>
    <w:p>
      <w:pPr>
        <w:pStyle w:val="1378"/>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开户行：</w:t>
      </w:r>
      <w:r/>
    </w:p>
    <w:p>
      <w:pPr>
        <w:pStyle w:val="1378"/>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账  号：</w:t>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pStyle w:val="1378"/>
        <w:spacing w:before="0" w:after="0"/>
        <w:rPr>
          <w:rFonts w:hint="eastAsia" w:ascii="宋体" w:hAnsi="宋体"/>
          <w:color w:val="000000"/>
          <w:szCs w:val="21"/>
          <w:highlight w:val="none"/>
        </w:rPr>
      </w:pPr>
      <w:r>
        <w:rPr>
          <w:rFonts w:hint="eastAsia" w:ascii="宋体" w:hAnsi="宋体"/>
          <w:color w:val="000000"/>
          <w:szCs w:val="21"/>
          <w:highlight w:val="none"/>
        </w:rPr>
        <w:t xml:space="preserve">日  期：</w:t>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五、磋商报价表</w:t>
      </w:r>
      <w:r/>
    </w:p>
    <w:p>
      <w:pPr>
        <w:jc w:val="center"/>
        <w:spacing w:line="48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磋商报价表</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 </w:t>
      </w:r>
      <w:r/>
    </w:p>
    <w:p>
      <w:pP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p>
    <w:p>
      <w:pP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分包号：</w:t>
      </w:r>
      <w:r/>
    </w:p>
    <w:tbl>
      <w:tblPr>
        <w:tblStyle w:val="1086"/>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p>
        </w:tc>
      </w:tr>
      <w:tr>
        <w:trPr>
          <w:cantSplit/>
          <w:trHeight w:val="780"/>
        </w:trPr>
        <w:tc>
          <w:tcPr>
            <w:tcW w:w="9748" w:type="dxa"/>
            <w:vAlign w:val="center"/>
            <w:textDirection w:val="lrTb"/>
            <w:noWrap w:val="false"/>
          </w:tcPr>
          <w:p>
            <w:pPr>
              <w:pStyle w:val="1378"/>
              <w:ind w:firstLine="0"/>
              <w:spacing w:before="0" w:after="0" w:line="480" w:lineRule="auto"/>
              <w:rPr>
                <w:rFonts w:hint="eastAsia" w:ascii="宋体" w:hAnsi="宋体"/>
                <w:color w:val="000000"/>
                <w:szCs w:val="21"/>
                <w:highlight w:val="none"/>
              </w:rPr>
            </w:pPr>
            <w:r>
              <w:rPr>
                <w:rFonts w:hint="eastAsia" w:ascii="宋体" w:hAnsi="宋体" w:cs="宋体"/>
                <w:color w:val="000000"/>
                <w:highlight w:val="none"/>
              </w:rPr>
              <w:t xml:space="preserve">小写（元）：                             </w:t>
            </w:r>
            <w:r/>
          </w:p>
        </w:tc>
      </w:tr>
    </w:tbl>
    <w:p>
      <w:pPr>
        <w:spacing w:line="48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374"/>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六、分项报价表（请根据工程量清单自行编制）</w:t>
      </w:r>
      <w:r/>
    </w:p>
    <w:p>
      <w:pPr>
        <w:pStyle w:val="1319"/>
        <w:jc w:val="both"/>
        <w:spacing w:before="0" w:beforeAutospacing="0" w:after="0" w:afterAutospacing="0"/>
        <w:rPr>
          <w:color w:val="000000"/>
          <w:highlight w:val="none"/>
        </w:rPr>
      </w:pPr>
      <w:r>
        <w:rPr>
          <w:color w:val="000000"/>
          <w:highlight w:val="none"/>
        </w:rPr>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spacing w:line="360" w:lineRule="auto"/>
        <w:rPr>
          <w:rFonts w:ascii="宋体" w:hAnsi="宋体"/>
          <w:color w:val="000000"/>
          <w:sz w:val="24"/>
          <w:highlight w:val="none"/>
        </w:rPr>
      </w:pPr>
      <w:r>
        <w:rPr>
          <w:rFonts w:ascii="宋体" w:hAnsi="宋体"/>
          <w:color w:val="000000"/>
          <w:sz w:val="24"/>
          <w:highlight w:val="none"/>
        </w:rPr>
      </w:r>
      <w:r/>
    </w:p>
    <w:p>
      <w:pPr>
        <w:pStyle w:val="1319"/>
        <w:jc w:val="both"/>
        <w:spacing w:before="0" w:beforeAutospacing="0" w:after="0" w:afterAutospacing="0" w:line="360" w:lineRule="auto"/>
        <w:rPr>
          <w:rFonts w:hint="eastAsia" w:ascii="黑体" w:hAnsi="黑体" w:eastAsia="黑体" w:cs="Times New Roman"/>
          <w:iCs/>
          <w:color w:val="000000"/>
          <w:sz w:val="32"/>
          <w:szCs w:val="32"/>
          <w:highlight w:val="none"/>
        </w:rPr>
      </w:pPr>
      <w:r>
        <w:rPr>
          <w:rFonts w:hint="eastAsia" w:ascii="黑体" w:hAnsi="黑体" w:eastAsia="黑体" w:cs="Times New Roman"/>
          <w:i/>
          <w:color w:val="000000"/>
          <w:sz w:val="32"/>
          <w:szCs w:val="32"/>
          <w:highlight w:val="none"/>
          <w:u w:val="single"/>
        </w:rPr>
        <w:br w:type="page" w:clear="all"/>
      </w:r>
      <w:bookmarkEnd w:id="125"/>
      <w:r/>
      <w:bookmarkEnd w:id="126"/>
      <w:r/>
      <w:bookmarkEnd w:id="135"/>
      <w:r>
        <w:rPr>
          <w:rFonts w:hint="eastAsia" w:ascii="黑体" w:hAnsi="黑体" w:eastAsia="黑体" w:cs="Times New Roman"/>
          <w:color w:val="000000"/>
          <w:sz w:val="32"/>
          <w:szCs w:val="32"/>
          <w:highlight w:val="none"/>
        </w:rPr>
        <w:t xml:space="preserve">七、</w:t>
      </w:r>
      <w:r>
        <w:rPr>
          <w:rFonts w:hint="eastAsia" w:ascii="黑体" w:hAnsi="黑体" w:eastAsia="黑体" w:cs="Times New Roman"/>
          <w:iCs/>
          <w:color w:val="000000"/>
          <w:sz w:val="32"/>
          <w:szCs w:val="32"/>
          <w:highlight w:val="none"/>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技术要求响应及偏离表</w:t>
      </w:r>
      <w:r/>
    </w:p>
    <w:tbl>
      <w:tblPr>
        <w:tblStyle w:val="10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319"/>
        <w:jc w:val="both"/>
        <w:spacing w:before="0" w:beforeAutospacing="0" w:after="0" w:afterAutospacing="0"/>
        <w:rPr>
          <w:color w:val="000000"/>
          <w:highlight w:val="none"/>
        </w:rPr>
      </w:pPr>
      <w:r>
        <w:rPr>
          <w:color w:val="000000"/>
          <w:highlight w:val="none"/>
        </w:rPr>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19"/>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131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1.供应商须对磋商文件技术要求中的实质性要求（斜体下划线内容或打“★”内容）及其他要求做出明确响应，否则视为无效响应。</w:t>
      </w:r>
      <w:r/>
    </w:p>
    <w:p>
      <w:pPr>
        <w:pStyle w:val="131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iCs/>
          <w:color w:val="000000"/>
          <w:sz w:val="32"/>
          <w:szCs w:val="32"/>
          <w:highlight w:val="none"/>
        </w:rPr>
      </w:pPr>
      <w:r/>
      <w:bookmarkStart w:id="139" w:name="_Hlt26955054"/>
      <w:r/>
      <w:bookmarkEnd w:id="139"/>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八、商务要求响应及偏离表</w:t>
      </w:r>
      <w:r/>
    </w:p>
    <w:p>
      <w:pPr>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商务要求响应及偏离表</w:t>
      </w:r>
      <w:r/>
    </w:p>
    <w:tbl>
      <w:tblPr>
        <w:tblStyle w:val="10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319"/>
        <w:jc w:val="both"/>
        <w:spacing w:before="0" w:beforeAutospacing="0" w:after="0" w:afterAutospacing="0"/>
        <w:rPr>
          <w:color w:val="000000"/>
          <w:highlight w:val="none"/>
        </w:rPr>
      </w:pPr>
      <w:r>
        <w:rPr>
          <w:color w:val="000000"/>
          <w:highlight w:val="none"/>
        </w:rPr>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1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p>
    <w:p>
      <w:pPr>
        <w:pStyle w:val="1319"/>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1.供应商须对磋商文件商务要求中的实质性要求（斜体下划线内容或打“★”内容）做出明确响应，否则视为无效响应。</w:t>
      </w:r>
      <w:r/>
    </w:p>
    <w:p>
      <w:pPr>
        <w:pStyle w:val="131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374"/>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九、中小企业声明函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中小企业声明函（服务）</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pStyle w:val="137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color w:val="000000"/>
          <w:highlight w:val="none"/>
        </w:rPr>
      </w:pPr>
      <w:r>
        <w:rPr>
          <w:rFonts w:hint="eastAsia"/>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olor w:val="000000"/>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szCs w:val="21"/>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pStyle w:val="137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color w:val="000000"/>
          <w:highlight w:val="none"/>
        </w:rPr>
      </w:pPr>
      <w:r>
        <w:rPr>
          <w:rFonts w:hint="eastAsia"/>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1.供应商如不提供此声明函，价格将不做相应扣除。</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2.成交供应商为残疾人福利性单位的，此声明函将随成交结果同时公告，接受社会监督。</w:t>
      </w:r>
      <w:r/>
    </w:p>
    <w:p>
      <w:pPr>
        <w:ind w:firstLine="480"/>
        <w:spacing w:line="48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p>
    <w:p>
      <w:pPr>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.若我们联合成交，</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p>
    <w:p>
      <w:pPr>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p>
      <w:pPr>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p>
    <w:p>
      <w:pPr>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3.除另有说明外，本磋商文件要求加盖电子公章之处，加盖牵头单位的电子公章即可。</w:t>
      </w:r>
      <w:r/>
    </w:p>
    <w:p>
      <w:pPr>
        <w:pStyle w:val="1325"/>
        <w:ind w:firstLine="480"/>
        <w:rPr>
          <w:rFonts w:hint="eastAsia"/>
          <w:color w:val="000000"/>
          <w:sz w:val="24"/>
          <w:highlight w:val="none"/>
        </w:rPr>
      </w:pPr>
      <w:r>
        <w:rPr>
          <w:rFonts w:hint="eastAsia"/>
          <w:color w:val="000000"/>
          <w:sz w:val="24"/>
          <w:highlight w:val="none"/>
        </w:rPr>
      </w:r>
      <w:r/>
    </w:p>
    <w:p>
      <w:pPr>
        <w:rPr>
          <w:rFonts w:hint="eastAsia"/>
          <w:color w:val="000000"/>
          <w:highlight w:val="none"/>
        </w:rPr>
      </w:pPr>
      <w:r>
        <w:rPr>
          <w:rFonts w:hint="eastAsia"/>
          <w:color w:val="000000"/>
          <w:highlight w:val="none"/>
        </w:rPr>
      </w:r>
      <w:r/>
    </w:p>
    <w:p>
      <w:pPr>
        <w:ind w:firstLine="645"/>
        <w:spacing w:line="560" w:lineRule="exact"/>
        <w:rPr>
          <w:rFonts w:ascii="宋体" w:hAnsi="宋体"/>
          <w:color w:val="000000"/>
          <w:sz w:val="24"/>
          <w:highlight w:val="none"/>
        </w:rPr>
      </w:pPr>
      <w:r>
        <w:rPr>
          <w:rFonts w:ascii="宋体" w:hAnsi="宋体"/>
          <w:color w:val="000000"/>
          <w:sz w:val="24"/>
          <w:highlight w:val="none"/>
        </w:rPr>
      </w:r>
      <w:r/>
    </w:p>
    <w:p>
      <w:pPr>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附件十二、南京市政府采购供应商信用记录表暨信用承诺书（网站在线打印盖章上传）</w:t>
      </w:r>
      <w:r/>
    </w:p>
    <w:p>
      <w:pPr>
        <w:rPr>
          <w:rFonts w:hint="eastAsia" w:ascii="宋体" w:hAnsi="宋体"/>
          <w:color w:val="000000"/>
          <w:sz w:val="24"/>
          <w:highlight w:val="none"/>
        </w:rPr>
      </w:pPr>
      <w:r>
        <w:rPr>
          <w:rFonts w:hint="eastAsia" w:ascii="宋体" w:hAnsi="宋体"/>
          <w:color w:val="000000"/>
          <w:sz w:val="24"/>
          <w:highlight w:val="none"/>
        </w:rPr>
      </w:r>
      <w:r/>
    </w:p>
    <w:p>
      <w:pPr>
        <w:pStyle w:val="1374"/>
        <w:rPr>
          <w:rFonts w:hint="eastAsia"/>
          <w:color w:val="000000"/>
          <w:highlight w:val="none"/>
        </w:rPr>
      </w:pPr>
      <w:r>
        <w:rPr>
          <w:rFonts w:hint="eastAsia"/>
          <w:color w:val="000000"/>
          <w:highlight w:val="none"/>
        </w:rPr>
      </w:r>
      <w:r/>
    </w:p>
    <w:p>
      <w:pPr>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分包号：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  期：    </w:t>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3.质疑供应商针对项目的某一分包进行质疑的，《质疑函》中应明确分包号。</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p>
    <w:sectPr>
      <w:footerReference w:type="default" r:id="rId17"/>
      <w:footerReference w:type="first" r:id="rId18"/>
      <w:footnotePr/>
      <w:endnotePr/>
      <w:type w:val="nextPage"/>
      <w:pgSz w:w="11906" w:h="16838" w:orient="portrait"/>
      <w:pgMar w:top="1440" w:right="1080" w:bottom="1440" w:left="1080" w:header="851" w:footer="907" w:gutter="0"/>
      <w:pgNumType w:start="29"/>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新宋体">
    <w:panose1 w:val="02010609030101010101"/>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- 25 -</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- 25 -</w:t>
                    </w:r>
                    <w:r>
                      <w:rPr>
                        <w:rFonts w:hint="eastAsia"/>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rPr>
        <w:rStyle w:val="1329"/>
      </w:rPr>
      <w:framePr w:wrap="around" w:vAnchor="text" w:hAnchor="margin" w:xAlign="center" w:y="1"/>
    </w:pPr>
    <w:r>
      <w:fldChar w:fldCharType="begin"/>
    </w:r>
    <w:r>
      <w:rPr>
        <w:rStyle w:val="1329"/>
      </w:rPr>
      <w:instrText xml:space="preserve">PAGE  </w:instrText>
    </w:r>
    <w:r>
      <w:fldChar w:fldCharType="separate"/>
    </w:r>
    <w:r>
      <w:rPr>
        <w:rStyle w:val="1329"/>
      </w:rPr>
      <w:t xml:space="preserve">1</w:t>
    </w:r>
    <w:r>
      <w:fldChar w:fldCharType="end"/>
    </w:r>
    <w:r/>
  </w:p>
  <w:p>
    <w:pPr>
      <w:pStyle w:val="13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- 0 -</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- 0 -</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- 29 -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- 29 -</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- 27 -</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- 27 -</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5" o:spid="_x0000_s5"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- 29 -</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- 29 -</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7" o:spid="_x0000_s7"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- 28 -</w:t>
                          </w:r>
                          <w:r>
                            <w:rPr>
                              <w:rFonts w:hint="eastAsia"/>
                            </w:rP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- 28 -</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- 41 -</w:t>
                          </w:r>
                          <w:r>
                            <w:rPr>
                              <w:rFonts w:hint="eastAsia"/>
                            </w:rP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- 41 -</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- 29 -</w:t>
                          </w:r>
                          <w:r>
                            <w:rPr>
                              <w:rFonts w:hint="eastAsia"/>
                            </w:rP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- 29 -</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3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62"/>
      <w:isLgl w:val="false"/>
      <w:suff w:val="nothing"/>
      <w:lvlText w:val=""/>
      <w:lvlJc w:val="left"/>
      <w:pPr>
        <w:ind w:left="0" w:firstLine="0"/>
      </w:pPr>
      <w:rPr>
        <w:rFonts w:hint="eastAsia"/>
      </w:rPr>
    </w:lvl>
    <w:lvl w:ilvl="6">
      <w:start w:val="1"/>
      <w:numFmt w:val="decimal"/>
      <w:pStyle w:val="1263"/>
      <w:isLgl w:val="false"/>
      <w:suff w:val="nothing"/>
      <w:lvlText w:val=""/>
      <w:lvlJc w:val="left"/>
      <w:pPr>
        <w:ind w:left="0" w:firstLine="0"/>
      </w:pPr>
      <w:rPr>
        <w:rFonts w:hint="eastAsia"/>
      </w:rPr>
    </w:lvl>
    <w:lvl w:ilvl="7">
      <w:start w:val="1"/>
      <w:numFmt w:val="decimal"/>
      <w:pStyle w:val="1264"/>
      <w:isLgl w:val="false"/>
      <w:suff w:val="nothing"/>
      <w:lvlText w:val=""/>
      <w:lvlJc w:val="left"/>
      <w:pPr>
        <w:ind w:left="0" w:firstLine="0"/>
      </w:pPr>
      <w:rPr>
        <w:rFonts w:hint="eastAsia"/>
      </w:rPr>
    </w:lvl>
    <w:lvl w:ilvl="8">
      <w:start w:val="1"/>
      <w:numFmt w:val="decimal"/>
      <w:pStyle w:val="1265"/>
      <w:isLgl w:val="false"/>
      <w:suff w:val="nothing"/>
      <w:lvlText w:val=""/>
      <w:lvlJc w:val="left"/>
      <w:pPr>
        <w:ind w:left="0" w:firstLine="0"/>
      </w:pPr>
      <w:rPr>
        <w:rFonts w:hint="eastAsia"/>
      </w:rPr>
    </w:lvl>
  </w:abstractNum>
  <w:abstractNum w:abstractNumId="3">
    <w:multiLevelType w:val="hybridMultilevel"/>
    <w:lvl w:ilvl="0">
      <w:start w:val="1"/>
      <w:numFmt w:val="decimal"/>
      <w:pStyle w:val="13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5" w:default="1">
    <w:name w:val="Normal"/>
    <w:next w:val="1079"/>
    <w:link w:val="13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6">
    <w:name w:val="Heading 1"/>
    <w:basedOn w:val="1075"/>
    <w:next w:val="1075"/>
    <w:link w:val="1108"/>
    <w:uiPriority w:val="9"/>
    <w:qFormat/>
    <w:pPr>
      <w:keepLines/>
      <w:keepNext/>
      <w:spacing w:before="480" w:after="200"/>
      <w:outlineLvl w:val="0"/>
    </w:pPr>
    <w:rPr>
      <w:rFonts w:ascii="Arial" w:hAnsi="Arial" w:eastAsia="Arial" w:cs="Arial"/>
      <w:sz w:val="40"/>
      <w:szCs w:val="40"/>
    </w:rPr>
  </w:style>
  <w:style w:type="paragraph" w:styleId="1077">
    <w:name w:val="Heading 2"/>
    <w:basedOn w:val="1075"/>
    <w:next w:val="1075"/>
    <w:link w:val="1109"/>
    <w:uiPriority w:val="9"/>
    <w:unhideWhenUsed/>
    <w:qFormat/>
    <w:pPr>
      <w:keepLines/>
      <w:keepNext/>
      <w:spacing w:before="360" w:after="200"/>
      <w:outlineLvl w:val="1"/>
    </w:pPr>
    <w:rPr>
      <w:rFonts w:ascii="Arial" w:hAnsi="Arial" w:eastAsia="Arial" w:cs="Arial"/>
      <w:sz w:val="34"/>
    </w:rPr>
  </w:style>
  <w:style w:type="paragraph" w:styleId="1078">
    <w:name w:val="Heading 3"/>
    <w:basedOn w:val="1075"/>
    <w:next w:val="1075"/>
    <w:link w:val="1110"/>
    <w:uiPriority w:val="9"/>
    <w:unhideWhenUsed/>
    <w:qFormat/>
    <w:pPr>
      <w:keepLines/>
      <w:keepNext/>
      <w:spacing w:before="320" w:after="200"/>
      <w:outlineLvl w:val="2"/>
    </w:pPr>
    <w:rPr>
      <w:rFonts w:ascii="Arial" w:hAnsi="Arial" w:eastAsia="Arial" w:cs="Arial"/>
      <w:sz w:val="30"/>
      <w:szCs w:val="30"/>
    </w:rPr>
  </w:style>
  <w:style w:type="paragraph" w:styleId="1079">
    <w:name w:val="Heading 4"/>
    <w:basedOn w:val="1075"/>
    <w:next w:val="1075"/>
    <w:link w:val="1111"/>
    <w:uiPriority w:val="9"/>
    <w:unhideWhenUsed/>
    <w:qFormat/>
    <w:pPr>
      <w:keepLines/>
      <w:keepNext/>
      <w:spacing w:before="320" w:after="200"/>
      <w:outlineLvl w:val="3"/>
    </w:pPr>
    <w:rPr>
      <w:rFonts w:ascii="Arial" w:hAnsi="Arial" w:eastAsia="Arial" w:cs="Arial"/>
      <w:b/>
      <w:bCs/>
      <w:sz w:val="26"/>
      <w:szCs w:val="26"/>
    </w:rPr>
  </w:style>
  <w:style w:type="paragraph" w:styleId="1080">
    <w:name w:val="Heading 5"/>
    <w:basedOn w:val="1075"/>
    <w:next w:val="1075"/>
    <w:link w:val="1112"/>
    <w:uiPriority w:val="9"/>
    <w:unhideWhenUsed/>
    <w:qFormat/>
    <w:pPr>
      <w:keepLines/>
      <w:keepNext/>
      <w:spacing w:before="320" w:after="200"/>
      <w:outlineLvl w:val="4"/>
    </w:pPr>
    <w:rPr>
      <w:rFonts w:ascii="Arial" w:hAnsi="Arial" w:eastAsia="Arial" w:cs="Arial"/>
      <w:b/>
      <w:bCs/>
      <w:sz w:val="24"/>
      <w:szCs w:val="24"/>
    </w:rPr>
  </w:style>
  <w:style w:type="paragraph" w:styleId="1081">
    <w:name w:val="Heading 6"/>
    <w:basedOn w:val="1075"/>
    <w:next w:val="1075"/>
    <w:link w:val="1113"/>
    <w:uiPriority w:val="9"/>
    <w:unhideWhenUsed/>
    <w:qFormat/>
    <w:pPr>
      <w:keepLines/>
      <w:keepNext/>
      <w:spacing w:before="320" w:after="200"/>
      <w:outlineLvl w:val="5"/>
    </w:pPr>
    <w:rPr>
      <w:rFonts w:ascii="Arial" w:hAnsi="Arial" w:eastAsia="Arial" w:cs="Arial"/>
      <w:b/>
      <w:bCs/>
      <w:sz w:val="22"/>
      <w:szCs w:val="22"/>
    </w:rPr>
  </w:style>
  <w:style w:type="paragraph" w:styleId="1082">
    <w:name w:val="Heading 7"/>
    <w:basedOn w:val="1075"/>
    <w:next w:val="1075"/>
    <w:link w:val="1114"/>
    <w:uiPriority w:val="9"/>
    <w:unhideWhenUsed/>
    <w:qFormat/>
    <w:pPr>
      <w:keepLines/>
      <w:keepNext/>
      <w:spacing w:before="320" w:after="200"/>
      <w:outlineLvl w:val="6"/>
    </w:pPr>
    <w:rPr>
      <w:rFonts w:ascii="Arial" w:hAnsi="Arial" w:eastAsia="Arial" w:cs="Arial"/>
      <w:b/>
      <w:bCs/>
      <w:i/>
      <w:iCs/>
      <w:sz w:val="22"/>
      <w:szCs w:val="22"/>
    </w:rPr>
  </w:style>
  <w:style w:type="paragraph" w:styleId="1083">
    <w:name w:val="Heading 8"/>
    <w:basedOn w:val="1075"/>
    <w:next w:val="1075"/>
    <w:link w:val="1115"/>
    <w:uiPriority w:val="9"/>
    <w:unhideWhenUsed/>
    <w:qFormat/>
    <w:pPr>
      <w:keepLines/>
      <w:keepNext/>
      <w:spacing w:before="320" w:after="200"/>
      <w:outlineLvl w:val="7"/>
    </w:pPr>
    <w:rPr>
      <w:rFonts w:ascii="Arial" w:hAnsi="Arial" w:eastAsia="Arial" w:cs="Arial"/>
      <w:i/>
      <w:iCs/>
      <w:sz w:val="22"/>
      <w:szCs w:val="22"/>
    </w:rPr>
  </w:style>
  <w:style w:type="paragraph" w:styleId="1084">
    <w:name w:val="Heading 9"/>
    <w:basedOn w:val="1075"/>
    <w:next w:val="1075"/>
    <w:link w:val="1116"/>
    <w:uiPriority w:val="9"/>
    <w:unhideWhenUsed/>
    <w:qFormat/>
    <w:pPr>
      <w:keepLines/>
      <w:keepNext/>
      <w:spacing w:before="320" w:after="200"/>
      <w:outlineLvl w:val="8"/>
    </w:pPr>
    <w:rPr>
      <w:rFonts w:ascii="Arial" w:hAnsi="Arial" w:eastAsia="Arial" w:cs="Arial"/>
      <w:i/>
      <w:iCs/>
      <w:sz w:val="21"/>
      <w:szCs w:val="21"/>
    </w:rPr>
  </w:style>
  <w:style w:type="character" w:styleId="1085" w:default="1">
    <w:name w:val="Default Paragraph Font"/>
    <w:uiPriority w:val="1"/>
    <w:semiHidden/>
    <w:unhideWhenUsed/>
    <w:qFormat/>
  </w:style>
  <w:style w:type="table" w:styleId="1086" w:default="1">
    <w:name w:val="Normal Table"/>
    <w:uiPriority w:val="99"/>
    <w:semiHidden/>
    <w:unhideWhenUsed/>
    <w:tblPr>
      <w:tblCellMar>
        <w:left w:w="108" w:type="dxa"/>
        <w:top w:w="0" w:type="dxa"/>
        <w:right w:w="108" w:type="dxa"/>
        <w:bottom w:w="0" w:type="dxa"/>
      </w:tblCellMar>
    </w:tblPr>
  </w:style>
  <w:style w:type="paragraph" w:styleId="1087">
    <w:name w:val="toc 7"/>
    <w:basedOn w:val="1075"/>
    <w:next w:val="1075"/>
    <w:uiPriority w:val="39"/>
    <w:unhideWhenUsed/>
    <w:pPr>
      <w:ind w:left="1701" w:right="0" w:firstLine="0"/>
      <w:spacing w:after="57"/>
    </w:pPr>
  </w:style>
  <w:style w:type="paragraph" w:styleId="1088">
    <w:name w:val="Caption"/>
    <w:basedOn w:val="1075"/>
    <w:next w:val="1075"/>
    <w:uiPriority w:val="35"/>
    <w:semiHidden/>
    <w:unhideWhenUsed/>
    <w:qFormat/>
    <w:pPr>
      <w:spacing w:line="276" w:lineRule="auto"/>
    </w:pPr>
    <w:rPr>
      <w:b/>
      <w:bCs/>
      <w:color w:val="4f81bd" w:themeColor="accent1"/>
      <w:sz w:val="18"/>
      <w:szCs w:val="18"/>
    </w:rPr>
  </w:style>
  <w:style w:type="paragraph" w:styleId="1089">
    <w:name w:val="toc 5"/>
    <w:basedOn w:val="1075"/>
    <w:next w:val="1075"/>
    <w:uiPriority w:val="39"/>
    <w:unhideWhenUsed/>
    <w:pPr>
      <w:ind w:left="1134" w:right="0" w:firstLine="0"/>
      <w:spacing w:after="57"/>
    </w:pPr>
  </w:style>
  <w:style w:type="paragraph" w:styleId="1090">
    <w:name w:val="toc 3"/>
    <w:basedOn w:val="1075"/>
    <w:next w:val="1075"/>
    <w:uiPriority w:val="39"/>
    <w:unhideWhenUsed/>
    <w:pPr>
      <w:ind w:left="567" w:right="0" w:firstLine="0"/>
      <w:spacing w:after="57"/>
    </w:pPr>
  </w:style>
  <w:style w:type="paragraph" w:styleId="1091">
    <w:name w:val="toc 8"/>
    <w:basedOn w:val="1075"/>
    <w:next w:val="1075"/>
    <w:uiPriority w:val="39"/>
    <w:unhideWhenUsed/>
    <w:pPr>
      <w:ind w:left="1984" w:right="0" w:firstLine="0"/>
      <w:spacing w:after="57"/>
    </w:pPr>
  </w:style>
  <w:style w:type="paragraph" w:styleId="1092">
    <w:name w:val="endnote text"/>
    <w:basedOn w:val="1075"/>
    <w:link w:val="1254"/>
    <w:uiPriority w:val="99"/>
    <w:semiHidden/>
    <w:unhideWhenUsed/>
    <w:pPr>
      <w:spacing w:after="0" w:line="240" w:lineRule="auto"/>
    </w:pPr>
    <w:rPr>
      <w:sz w:val="20"/>
    </w:rPr>
  </w:style>
  <w:style w:type="paragraph" w:styleId="1093">
    <w:name w:val="Footer"/>
    <w:basedOn w:val="1075"/>
    <w:link w:val="1127"/>
    <w:uiPriority w:val="99"/>
    <w:unhideWhenUsed/>
    <w:pPr>
      <w:spacing w:after="0" w:line="240" w:lineRule="auto"/>
      <w:tabs>
        <w:tab w:val="center" w:pos="7143" w:leader="none"/>
        <w:tab w:val="right" w:pos="14287" w:leader="none"/>
      </w:tabs>
    </w:pPr>
  </w:style>
  <w:style w:type="paragraph" w:styleId="1094">
    <w:name w:val="Header"/>
    <w:basedOn w:val="1075"/>
    <w:link w:val="1125"/>
    <w:uiPriority w:val="99"/>
    <w:unhideWhenUsed/>
    <w:pPr>
      <w:spacing w:after="0" w:line="240" w:lineRule="auto"/>
      <w:tabs>
        <w:tab w:val="center" w:pos="7143" w:leader="none"/>
        <w:tab w:val="right" w:pos="14287" w:leader="none"/>
      </w:tabs>
    </w:pPr>
  </w:style>
  <w:style w:type="paragraph" w:styleId="1095">
    <w:name w:val="toc 1"/>
    <w:basedOn w:val="1075"/>
    <w:next w:val="1075"/>
    <w:uiPriority w:val="39"/>
    <w:unhideWhenUsed/>
    <w:pPr>
      <w:ind w:left="0" w:right="0" w:firstLine="0"/>
      <w:spacing w:after="57"/>
    </w:pPr>
  </w:style>
  <w:style w:type="paragraph" w:styleId="1096">
    <w:name w:val="toc 4"/>
    <w:basedOn w:val="1075"/>
    <w:next w:val="1075"/>
    <w:uiPriority w:val="39"/>
    <w:unhideWhenUsed/>
    <w:pPr>
      <w:ind w:left="850" w:right="0" w:firstLine="0"/>
      <w:spacing w:after="57"/>
    </w:pPr>
  </w:style>
  <w:style w:type="paragraph" w:styleId="1097">
    <w:name w:val="Subtitle"/>
    <w:basedOn w:val="1075"/>
    <w:next w:val="1075"/>
    <w:link w:val="1120"/>
    <w:uiPriority w:val="11"/>
    <w:qFormat/>
    <w:pPr>
      <w:spacing w:before="200" w:after="200"/>
    </w:pPr>
    <w:rPr>
      <w:sz w:val="24"/>
      <w:szCs w:val="24"/>
    </w:rPr>
  </w:style>
  <w:style w:type="paragraph" w:styleId="1098">
    <w:name w:val="footnote text"/>
    <w:basedOn w:val="1075"/>
    <w:link w:val="1253"/>
    <w:uiPriority w:val="99"/>
    <w:semiHidden/>
    <w:unhideWhenUsed/>
    <w:pPr>
      <w:spacing w:after="40" w:line="240" w:lineRule="auto"/>
    </w:pPr>
    <w:rPr>
      <w:sz w:val="18"/>
    </w:rPr>
  </w:style>
  <w:style w:type="paragraph" w:styleId="1099">
    <w:name w:val="toc 6"/>
    <w:basedOn w:val="1075"/>
    <w:next w:val="1075"/>
    <w:uiPriority w:val="39"/>
    <w:unhideWhenUsed/>
    <w:pPr>
      <w:ind w:left="1417" w:right="0" w:firstLine="0"/>
      <w:spacing w:after="57"/>
    </w:pPr>
  </w:style>
  <w:style w:type="paragraph" w:styleId="1100">
    <w:name w:val="table of figures"/>
    <w:basedOn w:val="1075"/>
    <w:next w:val="1075"/>
    <w:uiPriority w:val="99"/>
    <w:unhideWhenUsed/>
    <w:pPr>
      <w:spacing w:after="0" w:afterAutospacing="0"/>
    </w:pPr>
  </w:style>
  <w:style w:type="paragraph" w:styleId="1101">
    <w:name w:val="toc 2"/>
    <w:basedOn w:val="1075"/>
    <w:next w:val="1075"/>
    <w:uiPriority w:val="39"/>
    <w:unhideWhenUsed/>
    <w:pPr>
      <w:ind w:left="283" w:right="0" w:firstLine="0"/>
      <w:spacing w:after="57"/>
    </w:pPr>
  </w:style>
  <w:style w:type="paragraph" w:styleId="1102">
    <w:name w:val="toc 9"/>
    <w:basedOn w:val="1075"/>
    <w:next w:val="1075"/>
    <w:uiPriority w:val="39"/>
    <w:unhideWhenUsed/>
    <w:pPr>
      <w:ind w:left="2268" w:right="0" w:firstLine="0"/>
      <w:spacing w:after="57"/>
    </w:pPr>
  </w:style>
  <w:style w:type="paragraph" w:styleId="1103">
    <w:name w:val="Title"/>
    <w:basedOn w:val="1075"/>
    <w:next w:val="1075"/>
    <w:link w:val="1119"/>
    <w:uiPriority w:val="10"/>
    <w:qFormat/>
    <w:pPr>
      <w:contextualSpacing/>
      <w:spacing w:before="300" w:after="200"/>
    </w:pPr>
    <w:rPr>
      <w:sz w:val="48"/>
      <w:szCs w:val="48"/>
    </w:rPr>
  </w:style>
  <w:style w:type="table" w:styleId="110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5">
    <w:name w:val="endnote reference"/>
    <w:uiPriority w:val="99"/>
    <w:semiHidden/>
    <w:unhideWhenUsed/>
    <w:rPr>
      <w:vertAlign w:val="superscript"/>
    </w:rPr>
  </w:style>
  <w:style w:type="character" w:styleId="1106">
    <w:name w:val="Hyperlink"/>
    <w:uiPriority w:val="99"/>
    <w:unhideWhenUsed/>
    <w:rPr>
      <w:color w:val="0000ff" w:themeColor="hyperlink"/>
      <w:u w:val="single"/>
    </w:rPr>
  </w:style>
  <w:style w:type="character" w:styleId="1107">
    <w:name w:val="footnote reference"/>
    <w:uiPriority w:val="99"/>
    <w:unhideWhenUsed/>
    <w:rPr>
      <w:vertAlign w:val="superscript"/>
    </w:rPr>
  </w:style>
  <w:style w:type="character" w:styleId="1108" w:customStyle="1">
    <w:name w:val="Heading 1 Char"/>
    <w:link w:val="1076"/>
    <w:uiPriority w:val="9"/>
    <w:rPr>
      <w:rFonts w:ascii="Arial" w:hAnsi="Arial" w:eastAsia="Arial" w:cs="Arial"/>
      <w:sz w:val="40"/>
      <w:szCs w:val="40"/>
    </w:rPr>
  </w:style>
  <w:style w:type="character" w:styleId="1109" w:customStyle="1">
    <w:name w:val="Heading 2 Char"/>
    <w:link w:val="1077"/>
    <w:uiPriority w:val="9"/>
    <w:rPr>
      <w:rFonts w:ascii="Arial" w:hAnsi="Arial" w:eastAsia="Arial" w:cs="Arial"/>
      <w:sz w:val="34"/>
    </w:rPr>
  </w:style>
  <w:style w:type="character" w:styleId="1110" w:customStyle="1">
    <w:name w:val="Heading 3 Char"/>
    <w:link w:val="1078"/>
    <w:uiPriority w:val="9"/>
    <w:rPr>
      <w:rFonts w:ascii="Arial" w:hAnsi="Arial" w:eastAsia="Arial" w:cs="Arial"/>
      <w:sz w:val="30"/>
      <w:szCs w:val="30"/>
    </w:rPr>
  </w:style>
  <w:style w:type="character" w:styleId="1111" w:customStyle="1">
    <w:name w:val="Heading 4 Char"/>
    <w:link w:val="1079"/>
    <w:uiPriority w:val="9"/>
    <w:qFormat/>
    <w:rPr>
      <w:rFonts w:ascii="Arial" w:hAnsi="Arial" w:eastAsia="Arial" w:cs="Arial"/>
      <w:b/>
      <w:bCs/>
      <w:sz w:val="26"/>
      <w:szCs w:val="26"/>
    </w:rPr>
  </w:style>
  <w:style w:type="character" w:styleId="1112" w:customStyle="1">
    <w:name w:val="Heading 5 Char"/>
    <w:link w:val="1080"/>
    <w:uiPriority w:val="9"/>
    <w:rPr>
      <w:rFonts w:ascii="Arial" w:hAnsi="Arial" w:eastAsia="Arial" w:cs="Arial"/>
      <w:b/>
      <w:bCs/>
      <w:sz w:val="24"/>
      <w:szCs w:val="24"/>
    </w:rPr>
  </w:style>
  <w:style w:type="character" w:styleId="1113" w:customStyle="1">
    <w:name w:val="Heading 6 Char"/>
    <w:link w:val="1081"/>
    <w:uiPriority w:val="9"/>
    <w:rPr>
      <w:rFonts w:ascii="Arial" w:hAnsi="Arial" w:eastAsia="Arial" w:cs="Arial"/>
      <w:b/>
      <w:bCs/>
      <w:sz w:val="22"/>
      <w:szCs w:val="22"/>
    </w:rPr>
  </w:style>
  <w:style w:type="character" w:styleId="1114" w:customStyle="1">
    <w:name w:val="Heading 7 Char"/>
    <w:link w:val="1082"/>
    <w:uiPriority w:val="9"/>
    <w:rPr>
      <w:rFonts w:ascii="Arial" w:hAnsi="Arial" w:eastAsia="Arial" w:cs="Arial"/>
      <w:b/>
      <w:bCs/>
      <w:i/>
      <w:iCs/>
      <w:sz w:val="22"/>
      <w:szCs w:val="22"/>
    </w:rPr>
  </w:style>
  <w:style w:type="character" w:styleId="1115" w:customStyle="1">
    <w:name w:val="Heading 8 Char"/>
    <w:link w:val="1083"/>
    <w:uiPriority w:val="9"/>
    <w:rPr>
      <w:rFonts w:ascii="Arial" w:hAnsi="Arial" w:eastAsia="Arial" w:cs="Arial"/>
      <w:i/>
      <w:iCs/>
      <w:sz w:val="22"/>
      <w:szCs w:val="22"/>
    </w:rPr>
  </w:style>
  <w:style w:type="character" w:styleId="1116" w:customStyle="1">
    <w:name w:val="Heading 9 Char"/>
    <w:link w:val="1084"/>
    <w:uiPriority w:val="9"/>
    <w:rPr>
      <w:rFonts w:ascii="Arial" w:hAnsi="Arial" w:eastAsia="Arial" w:cs="Arial"/>
      <w:i/>
      <w:iCs/>
      <w:sz w:val="21"/>
      <w:szCs w:val="21"/>
    </w:rPr>
  </w:style>
  <w:style w:type="paragraph" w:styleId="1117">
    <w:name w:val="List Paragraph"/>
    <w:basedOn w:val="1075"/>
    <w:uiPriority w:val="34"/>
    <w:qFormat/>
    <w:pPr>
      <w:contextualSpacing/>
      <w:ind w:left="720"/>
    </w:pPr>
  </w:style>
  <w:style w:type="paragraph" w:styleId="1118">
    <w:name w:val="No Spacing"/>
    <w:uiPriority w:val="1"/>
    <w:qFormat/>
    <w:pPr>
      <w:spacing w:before="0" w:after="0" w:line="240" w:lineRule="auto"/>
    </w:pPr>
    <w:rPr>
      <w:rFonts w:hint="default" w:ascii="Times New Roman" w:hAnsi="Times New Roman" w:eastAsia="宋体" w:cs="Times New Roman"/>
    </w:rPr>
  </w:style>
  <w:style w:type="character" w:styleId="1119" w:customStyle="1">
    <w:name w:val="Title Char"/>
    <w:link w:val="1103"/>
    <w:uiPriority w:val="10"/>
    <w:rPr>
      <w:sz w:val="48"/>
      <w:szCs w:val="48"/>
    </w:rPr>
  </w:style>
  <w:style w:type="character" w:styleId="1120" w:customStyle="1">
    <w:name w:val="Subtitle Char"/>
    <w:link w:val="1097"/>
    <w:uiPriority w:val="11"/>
    <w:rPr>
      <w:sz w:val="24"/>
      <w:szCs w:val="24"/>
    </w:rPr>
  </w:style>
  <w:style w:type="paragraph" w:styleId="1121">
    <w:name w:val="Quote"/>
    <w:basedOn w:val="1075"/>
    <w:next w:val="1075"/>
    <w:link w:val="1122"/>
    <w:uiPriority w:val="29"/>
    <w:qFormat/>
    <w:pPr>
      <w:ind w:left="720" w:right="720"/>
    </w:pPr>
    <w:rPr>
      <w:i/>
    </w:rPr>
  </w:style>
  <w:style w:type="character" w:styleId="1122" w:customStyle="1">
    <w:name w:val="Quote Char"/>
    <w:link w:val="1121"/>
    <w:uiPriority w:val="29"/>
    <w:rPr>
      <w:i/>
    </w:rPr>
  </w:style>
  <w:style w:type="paragraph" w:styleId="1123">
    <w:name w:val="Intense Quote"/>
    <w:basedOn w:val="1075"/>
    <w:next w:val="1075"/>
    <w:link w:val="11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4" w:customStyle="1">
    <w:name w:val="Intense Quote Char"/>
    <w:link w:val="1123"/>
    <w:uiPriority w:val="30"/>
    <w:rPr>
      <w:i/>
    </w:rPr>
  </w:style>
  <w:style w:type="character" w:styleId="1125" w:customStyle="1">
    <w:name w:val="Header Char"/>
    <w:link w:val="1094"/>
    <w:uiPriority w:val="99"/>
  </w:style>
  <w:style w:type="character" w:styleId="1126" w:customStyle="1">
    <w:name w:val="Footer Char"/>
    <w:link w:val="1093"/>
    <w:uiPriority w:val="99"/>
  </w:style>
  <w:style w:type="character" w:styleId="1127" w:customStyle="1">
    <w:name w:val="Caption Char"/>
    <w:link w:val="1093"/>
    <w:uiPriority w:val="99"/>
  </w:style>
  <w:style w:type="table" w:styleId="1128"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2"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3"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36"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7"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8"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9"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40"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41"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2"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3"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5"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46"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47"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4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5"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6"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58"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59"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60"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61"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62"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3"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64"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65"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6"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7"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8"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69"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70"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71"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72"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7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74"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75"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7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7"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8"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9"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80"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1"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82"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83"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4"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8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6"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87"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88"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9"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90"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1"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92"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9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9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9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9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97"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0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0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0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03"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04"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5"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0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0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0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1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1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1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1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1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1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1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1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18"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1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22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221"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22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2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2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25"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6"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27"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8"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29"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30"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31"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32"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4"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5"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6"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8"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41"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4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4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4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4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4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5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5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53" w:customStyle="1">
    <w:name w:val="Footnote Text Char"/>
    <w:link w:val="1098"/>
    <w:uiPriority w:val="99"/>
    <w:rPr>
      <w:sz w:val="18"/>
    </w:rPr>
  </w:style>
  <w:style w:type="character" w:styleId="1254" w:customStyle="1">
    <w:name w:val="Endnote Text Char"/>
    <w:link w:val="1092"/>
    <w:uiPriority w:val="99"/>
    <w:rPr>
      <w:sz w:val="20"/>
    </w:rPr>
  </w:style>
  <w:style w:type="paragraph" w:styleId="1255" w:customStyle="1">
    <w:name w:val="TOC Heading"/>
    <w:uiPriority w:val="39"/>
    <w:unhideWhenUsed/>
    <w:rPr>
      <w:rFonts w:hint="default" w:ascii="Times New Roman" w:hAnsi="Times New Roman" w:eastAsia="宋体" w:cs="Times New Roman"/>
    </w:rPr>
  </w:style>
  <w:style w:type="paragraph" w:styleId="1256" w:customStyle="1">
    <w:name w:val="标题 11"/>
    <w:basedOn w:val="1075"/>
    <w:next w:val="1075"/>
    <w:link w:val="1269"/>
    <w:uiPriority w:val="0"/>
    <w:qFormat/>
    <w:pPr>
      <w:jc w:val="center"/>
      <w:keepNext/>
      <w:outlineLvl w:val="0"/>
    </w:pPr>
    <w:rPr>
      <w:rFonts w:ascii="楷体_GB2312" w:hAnsi="Times New Roman" w:eastAsia="楷体_GB2312" w:cs="Times New Roman"/>
      <w:sz w:val="28"/>
      <w:szCs w:val="28"/>
    </w:rPr>
  </w:style>
  <w:style w:type="paragraph" w:styleId="1257" w:customStyle="1">
    <w:name w:val="标题 21"/>
    <w:basedOn w:val="1075"/>
    <w:next w:val="1258"/>
    <w:link w:val="127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258" w:customStyle="1">
    <w:name w:val="正文缩进1"/>
    <w:basedOn w:val="1075"/>
    <w:link w:val="1271"/>
    <w:uiPriority w:val="0"/>
    <w:pPr>
      <w:ind w:firstLine="420"/>
    </w:pPr>
    <w:rPr>
      <w:szCs w:val="21"/>
    </w:rPr>
  </w:style>
  <w:style w:type="paragraph" w:styleId="1259" w:customStyle="1">
    <w:name w:val="标题 31"/>
    <w:basedOn w:val="1075"/>
    <w:next w:val="1258"/>
    <w:link w:val="127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260" w:customStyle="1">
    <w:name w:val="标题 41"/>
    <w:basedOn w:val="1075"/>
    <w:next w:val="1075"/>
    <w:link w:val="1268"/>
    <w:uiPriority w:val="0"/>
    <w:qFormat/>
    <w:pPr>
      <w:keepLines/>
      <w:keepNext/>
      <w:spacing w:before="280" w:after="290" w:line="376" w:lineRule="auto"/>
      <w:outlineLvl w:val="3"/>
    </w:pPr>
    <w:rPr>
      <w:rFonts w:ascii="Arial" w:hAnsi="Arial" w:eastAsia="黑体" w:cs="Arial"/>
      <w:b/>
      <w:bCs/>
      <w:sz w:val="28"/>
      <w:szCs w:val="28"/>
    </w:rPr>
  </w:style>
  <w:style w:type="paragraph" w:styleId="1261" w:customStyle="1">
    <w:name w:val="标题 51"/>
    <w:basedOn w:val="1075"/>
    <w:next w:val="1258"/>
    <w:link w:val="1273"/>
    <w:uiPriority w:val="0"/>
    <w:qFormat/>
    <w:pPr>
      <w:keepNext/>
      <w:outlineLvl w:val="4"/>
    </w:pPr>
    <w:rPr>
      <w:rFonts w:ascii="宋体" w:hAnsi="Times New Roman" w:eastAsia="宋体" w:cs="Times New Roman"/>
      <w:color w:val="000000"/>
      <w:sz w:val="28"/>
      <w:szCs w:val="28"/>
    </w:rPr>
  </w:style>
  <w:style w:type="paragraph" w:styleId="1262" w:customStyle="1">
    <w:name w:val="标题 61"/>
    <w:basedOn w:val="1075"/>
    <w:next w:val="1075"/>
    <w:link w:val="127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263" w:customStyle="1">
    <w:name w:val="标题 71"/>
    <w:basedOn w:val="1075"/>
    <w:next w:val="1075"/>
    <w:link w:val="127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264" w:customStyle="1">
    <w:name w:val="标题 81"/>
    <w:basedOn w:val="1075"/>
    <w:next w:val="1075"/>
    <w:link w:val="127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265" w:customStyle="1">
    <w:name w:val="标题 91"/>
    <w:basedOn w:val="1075"/>
    <w:next w:val="1075"/>
    <w:link w:val="127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266" w:customStyle="1">
    <w:name w:val="默认段落字体1"/>
    <w:link w:val="1075"/>
    <w:uiPriority w:val="1"/>
    <w:unhideWhenUsed/>
  </w:style>
  <w:style w:type="table" w:styleId="1267" w:customStyle="1">
    <w:name w:val="普通表格11"/>
    <w:uiPriority w:val="99"/>
    <w:unhideWhenUsed/>
    <w:tblPr/>
  </w:style>
  <w:style w:type="character" w:styleId="1268" w:customStyle="1">
    <w:name w:val="标题 4 Char"/>
    <w:link w:val="1260"/>
    <w:uiPriority w:val="0"/>
    <w:rPr>
      <w:rFonts w:ascii="Arial" w:hAnsi="Arial" w:eastAsia="黑体" w:cs="Arial"/>
      <w:b/>
      <w:bCs/>
      <w:sz w:val="28"/>
      <w:szCs w:val="28"/>
    </w:rPr>
  </w:style>
  <w:style w:type="character" w:styleId="1269" w:customStyle="1">
    <w:name w:val="标题 1 Char"/>
    <w:link w:val="1256"/>
    <w:uiPriority w:val="0"/>
    <w:rPr>
      <w:rFonts w:ascii="楷体_GB2312" w:hAnsi="Times New Roman" w:eastAsia="楷体_GB2312" w:cs="Times New Roman"/>
      <w:sz w:val="28"/>
      <w:szCs w:val="28"/>
    </w:rPr>
  </w:style>
  <w:style w:type="character" w:styleId="1270" w:customStyle="1">
    <w:name w:val="标题 2 Char"/>
    <w:link w:val="1257"/>
    <w:uiPriority w:val="0"/>
    <w:rPr>
      <w:rFonts w:ascii="Arial" w:hAnsi="Arial" w:eastAsia="幼圆" w:cs="Arial"/>
      <w:b/>
      <w:bCs/>
      <w:sz w:val="44"/>
      <w:szCs w:val="44"/>
    </w:rPr>
  </w:style>
  <w:style w:type="character" w:styleId="1271" w:customStyle="1">
    <w:name w:val="正文缩进 Char"/>
    <w:link w:val="1258"/>
    <w:uiPriority w:val="0"/>
    <w:rPr>
      <w:szCs w:val="21"/>
    </w:rPr>
  </w:style>
  <w:style w:type="character" w:styleId="1272" w:customStyle="1">
    <w:name w:val="标题 3 Char"/>
    <w:link w:val="1259"/>
    <w:uiPriority w:val="0"/>
    <w:rPr>
      <w:rFonts w:ascii="Times New Roman" w:hAnsi="Times New Roman" w:eastAsia="宋体" w:cs="Times New Roman"/>
      <w:b/>
      <w:bCs/>
      <w:sz w:val="32"/>
      <w:szCs w:val="32"/>
    </w:rPr>
  </w:style>
  <w:style w:type="character" w:styleId="1273" w:customStyle="1">
    <w:name w:val="标题 5 Char"/>
    <w:link w:val="1261"/>
    <w:uiPriority w:val="0"/>
    <w:rPr>
      <w:rFonts w:ascii="宋体" w:hAnsi="Times New Roman" w:eastAsia="宋体" w:cs="Times New Roman"/>
      <w:color w:val="000000"/>
      <w:sz w:val="28"/>
      <w:szCs w:val="28"/>
    </w:rPr>
  </w:style>
  <w:style w:type="character" w:styleId="1274" w:customStyle="1">
    <w:name w:val="标题 6 Char"/>
    <w:link w:val="1262"/>
    <w:uiPriority w:val="0"/>
    <w:rPr>
      <w:rFonts w:ascii="Arial" w:hAnsi="Arial" w:eastAsia="黑体" w:cs="Times New Roman"/>
      <w:b/>
      <w:bCs/>
      <w:sz w:val="24"/>
      <w:szCs w:val="24"/>
    </w:rPr>
  </w:style>
  <w:style w:type="character" w:styleId="1275" w:customStyle="1">
    <w:name w:val="标题 7 Char"/>
    <w:link w:val="1263"/>
    <w:uiPriority w:val="0"/>
    <w:rPr>
      <w:rFonts w:ascii="Times New Roman" w:hAnsi="Times New Roman" w:eastAsia="宋体" w:cs="Times New Roman"/>
      <w:b/>
      <w:bCs/>
      <w:sz w:val="24"/>
      <w:szCs w:val="24"/>
    </w:rPr>
  </w:style>
  <w:style w:type="character" w:styleId="1276" w:customStyle="1">
    <w:name w:val="标题 8 Char"/>
    <w:link w:val="1264"/>
    <w:uiPriority w:val="0"/>
    <w:rPr>
      <w:rFonts w:ascii="Arial" w:hAnsi="Arial" w:eastAsia="黑体" w:cs="Times New Roman"/>
      <w:sz w:val="24"/>
      <w:szCs w:val="24"/>
    </w:rPr>
  </w:style>
  <w:style w:type="character" w:styleId="1277" w:customStyle="1">
    <w:name w:val="标题 9 Char"/>
    <w:link w:val="1265"/>
    <w:uiPriority w:val="0"/>
    <w:rPr>
      <w:rFonts w:ascii="Arial" w:hAnsi="Arial" w:eastAsia="黑体" w:cs="Times New Roman"/>
      <w:szCs w:val="21"/>
    </w:rPr>
  </w:style>
  <w:style w:type="paragraph" w:styleId="1278" w:customStyle="1">
    <w:name w:val="列表 31"/>
    <w:basedOn w:val="1075"/>
    <w:uiPriority w:val="0"/>
    <w:pPr>
      <w:ind w:left="100" w:hanging="200"/>
    </w:pPr>
    <w:rPr>
      <w:rFonts w:ascii="Times New Roman" w:hAnsi="Times New Roman" w:eastAsia="宋体" w:cs="Times New Roman"/>
      <w:szCs w:val="21"/>
    </w:rPr>
  </w:style>
  <w:style w:type="paragraph" w:styleId="1279" w:customStyle="1">
    <w:name w:val="目录 71"/>
    <w:basedOn w:val="1075"/>
    <w:next w:val="1075"/>
    <w:uiPriority w:val="0"/>
    <w:semiHidden/>
    <w:pPr>
      <w:ind w:left="1260"/>
      <w:jc w:val="left"/>
    </w:pPr>
    <w:rPr>
      <w:rFonts w:ascii="Times New Roman" w:hAnsi="Times New Roman" w:eastAsia="宋体" w:cs="Times New Roman"/>
      <w:szCs w:val="21"/>
    </w:rPr>
  </w:style>
  <w:style w:type="paragraph" w:styleId="1280" w:customStyle="1">
    <w:name w:val="文档结构图1"/>
    <w:basedOn w:val="1075"/>
    <w:link w:val="1281"/>
    <w:uiPriority w:val="0"/>
    <w:semiHidden/>
    <w:pPr>
      <w:shd w:val="clear" w:color="auto" w:fill="000080"/>
    </w:pPr>
    <w:rPr>
      <w:rFonts w:ascii="Times New Roman" w:hAnsi="Times New Roman" w:eastAsia="宋体" w:cs="Times New Roman"/>
      <w:szCs w:val="21"/>
    </w:rPr>
  </w:style>
  <w:style w:type="character" w:styleId="1281" w:customStyle="1">
    <w:name w:val="文档结构图 Char"/>
    <w:link w:val="1280"/>
    <w:uiPriority w:val="0"/>
    <w:semiHidden/>
    <w:rPr>
      <w:rFonts w:ascii="Times New Roman" w:hAnsi="Times New Roman" w:eastAsia="宋体" w:cs="Times New Roman"/>
      <w:szCs w:val="21"/>
      <w:shd w:val="clear" w:color="auto" w:fill="000080"/>
    </w:rPr>
  </w:style>
  <w:style w:type="paragraph" w:styleId="1282" w:customStyle="1">
    <w:name w:val="批注文字1"/>
    <w:basedOn w:val="1075"/>
    <w:link w:val="1283"/>
    <w:uiPriority w:val="0"/>
    <w:unhideWhenUsed/>
    <w:pPr>
      <w:jc w:val="left"/>
    </w:pPr>
  </w:style>
  <w:style w:type="character" w:styleId="1283" w:customStyle="1">
    <w:name w:val="批注文字 Char"/>
    <w:basedOn w:val="1266"/>
    <w:link w:val="1282"/>
    <w:uiPriority w:val="99"/>
    <w:semiHidden/>
  </w:style>
  <w:style w:type="paragraph" w:styleId="1284" w:customStyle="1">
    <w:name w:val="正文文本 31"/>
    <w:basedOn w:val="1075"/>
    <w:link w:val="1285"/>
    <w:uiPriority w:val="0"/>
    <w:rPr>
      <w:rFonts w:ascii="仿宋_GB2312" w:hAnsi="Arial" w:eastAsia="仿宋_GB2312" w:cs="Times New Roman"/>
      <w:sz w:val="32"/>
      <w:szCs w:val="32"/>
    </w:rPr>
  </w:style>
  <w:style w:type="character" w:styleId="1285" w:customStyle="1">
    <w:name w:val="正文文本 3 Char"/>
    <w:link w:val="1284"/>
    <w:uiPriority w:val="0"/>
    <w:rPr>
      <w:rFonts w:ascii="仿宋_GB2312" w:hAnsi="Arial" w:eastAsia="仿宋_GB2312" w:cs="Times New Roman"/>
      <w:sz w:val="32"/>
      <w:szCs w:val="32"/>
    </w:rPr>
  </w:style>
  <w:style w:type="paragraph" w:styleId="1286" w:customStyle="1">
    <w:name w:val="正文文本11"/>
    <w:basedOn w:val="1075"/>
    <w:link w:val="1287"/>
    <w:uiPriority w:val="0"/>
    <w:rPr>
      <w:rFonts w:ascii="楷体_GB2312" w:hAnsi="Arial" w:eastAsia="楷体_GB2312" w:cs="Times New Roman"/>
      <w:sz w:val="28"/>
      <w:szCs w:val="28"/>
    </w:rPr>
  </w:style>
  <w:style w:type="character" w:styleId="1287" w:customStyle="1">
    <w:name w:val="正文文本 Char"/>
    <w:link w:val="1286"/>
    <w:uiPriority w:val="0"/>
    <w:rPr>
      <w:rFonts w:ascii="楷体_GB2312" w:hAnsi="Arial" w:eastAsia="楷体_GB2312" w:cs="Times New Roman"/>
      <w:sz w:val="28"/>
      <w:szCs w:val="28"/>
    </w:rPr>
  </w:style>
  <w:style w:type="paragraph" w:styleId="1288" w:customStyle="1">
    <w:name w:val="正文文本缩进11"/>
    <w:basedOn w:val="1075"/>
    <w:next w:val="1289"/>
    <w:link w:val="1290"/>
    <w:uiPriority w:val="0"/>
    <w:unhideWhenUsed/>
    <w:pPr>
      <w:ind w:left="420"/>
      <w:spacing w:after="120"/>
    </w:pPr>
  </w:style>
  <w:style w:type="paragraph" w:styleId="1289" w:customStyle="1">
    <w:name w:val="寄信人地址1"/>
    <w:basedOn w:val="1075"/>
    <w:uiPriority w:val="0"/>
    <w:qFormat/>
    <w:rPr>
      <w:rFonts w:ascii="Arial" w:hAnsi="Arial" w:eastAsia="宋体" w:cs="宋体"/>
    </w:rPr>
  </w:style>
  <w:style w:type="character" w:styleId="1290" w:customStyle="1">
    <w:name w:val="正文文本缩进 Char"/>
    <w:basedOn w:val="1266"/>
    <w:link w:val="1288"/>
    <w:uiPriority w:val="99"/>
    <w:semiHidden/>
  </w:style>
  <w:style w:type="paragraph" w:styleId="1291" w:customStyle="1">
    <w:name w:val="列表 21"/>
    <w:basedOn w:val="1075"/>
    <w:uiPriority w:val="0"/>
    <w:pPr>
      <w:ind w:left="100" w:hanging="200"/>
    </w:pPr>
    <w:rPr>
      <w:rFonts w:ascii="Times New Roman" w:hAnsi="Times New Roman" w:eastAsia="宋体" w:cs="Times New Roman"/>
      <w:szCs w:val="21"/>
    </w:rPr>
  </w:style>
  <w:style w:type="paragraph" w:styleId="1292" w:customStyle="1">
    <w:name w:val="索引 411"/>
    <w:basedOn w:val="1075"/>
    <w:next w:val="1075"/>
    <w:uiPriority w:val="0"/>
    <w:semiHidden/>
    <w:qFormat/>
    <w:pPr>
      <w:ind w:left="1260"/>
    </w:pPr>
    <w:rPr>
      <w:rFonts w:ascii="Calibri" w:hAnsi="Calibri" w:eastAsia="Calibri" w:cs="宋体"/>
      <w:sz w:val="20"/>
      <w:lang w:val="zh-CN"/>
    </w:rPr>
  </w:style>
  <w:style w:type="paragraph" w:styleId="1293" w:customStyle="1">
    <w:name w:val="目录 51"/>
    <w:basedOn w:val="1075"/>
    <w:next w:val="1075"/>
    <w:uiPriority w:val="0"/>
    <w:semiHidden/>
    <w:pPr>
      <w:ind w:left="840"/>
      <w:jc w:val="left"/>
    </w:pPr>
    <w:rPr>
      <w:rFonts w:ascii="Times New Roman" w:hAnsi="Times New Roman" w:eastAsia="宋体" w:cs="Times New Roman"/>
      <w:szCs w:val="21"/>
    </w:rPr>
  </w:style>
  <w:style w:type="paragraph" w:styleId="1294" w:customStyle="1">
    <w:name w:val="目录 31"/>
    <w:basedOn w:val="1075"/>
    <w:next w:val="1075"/>
    <w:uiPriority w:val="0"/>
    <w:semiHidden/>
    <w:pPr>
      <w:ind w:left="420"/>
      <w:jc w:val="left"/>
    </w:pPr>
    <w:rPr>
      <w:rFonts w:ascii="Times New Roman" w:hAnsi="Times New Roman" w:eastAsia="宋体" w:cs="Times New Roman"/>
      <w:i/>
      <w:iCs/>
      <w:szCs w:val="24"/>
    </w:rPr>
  </w:style>
  <w:style w:type="paragraph" w:styleId="1295" w:customStyle="1">
    <w:name w:val="纯文本11"/>
    <w:basedOn w:val="1075"/>
    <w:link w:val="1296"/>
    <w:uiPriority w:val="0"/>
    <w:rPr>
      <w:rFonts w:ascii="宋体" w:hAnsi="Courier New" w:eastAsia="宋体" w:cs="Courier New"/>
      <w:szCs w:val="21"/>
    </w:rPr>
  </w:style>
  <w:style w:type="character" w:styleId="1296" w:customStyle="1">
    <w:name w:val="纯文本 Char"/>
    <w:link w:val="1295"/>
    <w:uiPriority w:val="0"/>
    <w:rPr>
      <w:rFonts w:ascii="宋体" w:hAnsi="Courier New" w:eastAsia="宋体" w:cs="Courier New"/>
      <w:szCs w:val="21"/>
    </w:rPr>
  </w:style>
  <w:style w:type="paragraph" w:styleId="1297" w:customStyle="1">
    <w:name w:val="目录 81"/>
    <w:basedOn w:val="1075"/>
    <w:next w:val="1075"/>
    <w:uiPriority w:val="0"/>
    <w:semiHidden/>
    <w:pPr>
      <w:ind w:left="1470"/>
      <w:jc w:val="left"/>
    </w:pPr>
    <w:rPr>
      <w:rFonts w:ascii="Times New Roman" w:hAnsi="Times New Roman" w:eastAsia="宋体" w:cs="Times New Roman"/>
      <w:szCs w:val="21"/>
    </w:rPr>
  </w:style>
  <w:style w:type="paragraph" w:styleId="1298" w:customStyle="1">
    <w:name w:val="日期1"/>
    <w:basedOn w:val="1075"/>
    <w:next w:val="1075"/>
    <w:link w:val="1299"/>
    <w:uiPriority w:val="0"/>
    <w:rPr>
      <w:rFonts w:ascii="Times New Roman" w:hAnsi="Times New Roman" w:eastAsia="宋体" w:cs="Times New Roman"/>
      <w:sz w:val="24"/>
      <w:szCs w:val="24"/>
    </w:rPr>
  </w:style>
  <w:style w:type="character" w:styleId="1299" w:customStyle="1">
    <w:name w:val="日期 Char"/>
    <w:link w:val="1298"/>
    <w:uiPriority w:val="0"/>
    <w:rPr>
      <w:rFonts w:ascii="Times New Roman" w:hAnsi="Times New Roman" w:eastAsia="宋体" w:cs="Times New Roman"/>
      <w:sz w:val="24"/>
      <w:szCs w:val="24"/>
    </w:rPr>
  </w:style>
  <w:style w:type="paragraph" w:styleId="1300" w:customStyle="1">
    <w:name w:val="正文文本缩进 21"/>
    <w:basedOn w:val="1075"/>
    <w:link w:val="1301"/>
    <w:uiPriority w:val="0"/>
    <w:pPr>
      <w:ind w:left="630" w:firstLine="645"/>
    </w:pPr>
    <w:rPr>
      <w:rFonts w:ascii="Arial" w:hAnsi="Arial" w:eastAsia="仿宋_GB2312" w:cs="Arial"/>
      <w:sz w:val="32"/>
      <w:szCs w:val="32"/>
    </w:rPr>
  </w:style>
  <w:style w:type="character" w:styleId="1301" w:customStyle="1">
    <w:name w:val="正文文本缩进 2 Char"/>
    <w:link w:val="1300"/>
    <w:uiPriority w:val="0"/>
    <w:rPr>
      <w:rFonts w:ascii="Arial" w:hAnsi="Arial" w:eastAsia="仿宋_GB2312" w:cs="Arial"/>
      <w:sz w:val="32"/>
      <w:szCs w:val="32"/>
    </w:rPr>
  </w:style>
  <w:style w:type="paragraph" w:styleId="1302" w:customStyle="1">
    <w:name w:val="批注框文本1"/>
    <w:basedOn w:val="1075"/>
    <w:link w:val="1303"/>
    <w:uiPriority w:val="0"/>
    <w:semiHidden/>
    <w:rPr>
      <w:rFonts w:ascii="Times New Roman" w:hAnsi="Times New Roman" w:eastAsia="宋体" w:cs="Times New Roman"/>
      <w:sz w:val="18"/>
      <w:szCs w:val="18"/>
    </w:rPr>
  </w:style>
  <w:style w:type="character" w:styleId="1303" w:customStyle="1">
    <w:name w:val="批注框文本 Char"/>
    <w:link w:val="1302"/>
    <w:uiPriority w:val="0"/>
    <w:semiHidden/>
    <w:rPr>
      <w:rFonts w:ascii="Times New Roman" w:hAnsi="Times New Roman" w:eastAsia="宋体" w:cs="Times New Roman"/>
      <w:sz w:val="18"/>
      <w:szCs w:val="18"/>
    </w:rPr>
  </w:style>
  <w:style w:type="paragraph" w:styleId="1304" w:customStyle="1">
    <w:name w:val="页脚1"/>
    <w:basedOn w:val="1075"/>
    <w:link w:val="1305"/>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1305" w:customStyle="1">
    <w:name w:val="页脚 Char"/>
    <w:link w:val="1304"/>
    <w:uiPriority w:val="0"/>
    <w:qFormat/>
    <w:rPr>
      <w:rFonts w:ascii="Times New Roman" w:hAnsi="Times New Roman" w:eastAsia="宋体" w:cs="Times New Roman"/>
      <w:sz w:val="18"/>
      <w:szCs w:val="18"/>
    </w:rPr>
  </w:style>
  <w:style w:type="paragraph" w:styleId="1306" w:customStyle="1">
    <w:name w:val="页眉1"/>
    <w:basedOn w:val="1075"/>
    <w:link w:val="1307"/>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307" w:customStyle="1">
    <w:name w:val="页眉 Char"/>
    <w:link w:val="1306"/>
    <w:uiPriority w:val="0"/>
    <w:rPr>
      <w:rFonts w:ascii="Times New Roman" w:hAnsi="Times New Roman" w:eastAsia="宋体" w:cs="Times New Roman"/>
      <w:sz w:val="18"/>
      <w:szCs w:val="18"/>
    </w:rPr>
  </w:style>
  <w:style w:type="paragraph" w:styleId="1308" w:customStyle="1">
    <w:name w:val="目录 11"/>
    <w:basedOn w:val="1075"/>
    <w:next w:val="1075"/>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309" w:customStyle="1">
    <w:name w:val="目录 41"/>
    <w:basedOn w:val="1075"/>
    <w:next w:val="1075"/>
    <w:uiPriority w:val="0"/>
    <w:semiHidden/>
    <w:pPr>
      <w:ind w:left="630"/>
      <w:jc w:val="left"/>
    </w:pPr>
    <w:rPr>
      <w:rFonts w:ascii="Times New Roman" w:hAnsi="Times New Roman" w:eastAsia="宋体" w:cs="Times New Roman"/>
      <w:szCs w:val="21"/>
    </w:rPr>
  </w:style>
  <w:style w:type="paragraph" w:styleId="1310" w:customStyle="1">
    <w:name w:val="列表1"/>
    <w:basedOn w:val="1075"/>
    <w:uiPriority w:val="0"/>
    <w:pPr>
      <w:ind w:left="200" w:hanging="200"/>
    </w:pPr>
    <w:rPr>
      <w:rFonts w:ascii="Times New Roman" w:hAnsi="Times New Roman" w:eastAsia="宋体" w:cs="Times New Roman"/>
      <w:szCs w:val="21"/>
    </w:rPr>
  </w:style>
  <w:style w:type="paragraph" w:styleId="1311" w:customStyle="1">
    <w:name w:val="目录 61"/>
    <w:basedOn w:val="1075"/>
    <w:next w:val="1075"/>
    <w:uiPriority w:val="0"/>
    <w:semiHidden/>
    <w:pPr>
      <w:ind w:left="1050"/>
      <w:jc w:val="left"/>
    </w:pPr>
    <w:rPr>
      <w:rFonts w:ascii="Times New Roman" w:hAnsi="Times New Roman" w:eastAsia="宋体" w:cs="Times New Roman"/>
      <w:szCs w:val="21"/>
    </w:rPr>
  </w:style>
  <w:style w:type="paragraph" w:styleId="1312" w:customStyle="1">
    <w:name w:val="正文文本缩进 31"/>
    <w:basedOn w:val="1075"/>
    <w:link w:val="1313"/>
    <w:uiPriority w:val="0"/>
    <w:pPr>
      <w:ind w:left="645" w:firstLine="645"/>
    </w:pPr>
    <w:rPr>
      <w:rFonts w:ascii="Arial" w:hAnsi="Arial" w:eastAsia="仿宋_GB2312" w:cs="Arial"/>
      <w:color w:val="ffff00"/>
      <w:sz w:val="32"/>
      <w:szCs w:val="32"/>
    </w:rPr>
  </w:style>
  <w:style w:type="character" w:styleId="1313" w:customStyle="1">
    <w:name w:val="正文文本缩进 3 Char"/>
    <w:link w:val="1312"/>
    <w:uiPriority w:val="0"/>
    <w:rPr>
      <w:rFonts w:ascii="Arial" w:hAnsi="Arial" w:eastAsia="仿宋_GB2312" w:cs="Arial"/>
      <w:color w:val="ffff00"/>
      <w:sz w:val="32"/>
      <w:szCs w:val="32"/>
    </w:rPr>
  </w:style>
  <w:style w:type="paragraph" w:styleId="1314" w:customStyle="1">
    <w:name w:val="图表目录1"/>
    <w:basedOn w:val="1075"/>
    <w:next w:val="1075"/>
    <w:uiPriority w:val="0"/>
    <w:semiHidden/>
    <w:pPr>
      <w:ind w:left="840" w:hanging="420"/>
    </w:pPr>
    <w:rPr>
      <w:rFonts w:ascii="Times New Roman" w:hAnsi="Times New Roman" w:eastAsia="宋体" w:cs="Times New Roman"/>
      <w:szCs w:val="21"/>
    </w:rPr>
  </w:style>
  <w:style w:type="paragraph" w:styleId="1315" w:customStyle="1">
    <w:name w:val="目录 21"/>
    <w:basedOn w:val="1075"/>
    <w:next w:val="1075"/>
    <w:uiPriority w:val="0"/>
    <w:semiHidden/>
    <w:pPr>
      <w:ind w:left="210"/>
      <w:jc w:val="left"/>
    </w:pPr>
    <w:rPr>
      <w:rFonts w:ascii="Times New Roman" w:hAnsi="Times New Roman" w:eastAsia="宋体" w:cs="Times New Roman"/>
      <w:smallCaps/>
      <w:szCs w:val="24"/>
    </w:rPr>
  </w:style>
  <w:style w:type="paragraph" w:styleId="1316" w:customStyle="1">
    <w:name w:val="目录 91"/>
    <w:basedOn w:val="1075"/>
    <w:next w:val="1075"/>
    <w:uiPriority w:val="0"/>
    <w:semiHidden/>
    <w:pPr>
      <w:ind w:left="1680"/>
      <w:jc w:val="left"/>
    </w:pPr>
    <w:rPr>
      <w:rFonts w:ascii="Times New Roman" w:hAnsi="Times New Roman" w:eastAsia="宋体" w:cs="Times New Roman"/>
      <w:szCs w:val="21"/>
    </w:rPr>
  </w:style>
  <w:style w:type="paragraph" w:styleId="1317" w:customStyle="1">
    <w:name w:val="正文文本 21"/>
    <w:basedOn w:val="1075"/>
    <w:link w:val="1318"/>
    <w:uiPriority w:val="0"/>
    <w:pPr>
      <w:jc w:val="center"/>
      <w:widowControl/>
    </w:pPr>
    <w:rPr>
      <w:rFonts w:ascii="楷体_GB2312" w:hAnsi="Times New Roman" w:eastAsia="楷体_GB2312" w:cs="Times New Roman"/>
      <w:sz w:val="28"/>
      <w:szCs w:val="28"/>
    </w:rPr>
  </w:style>
  <w:style w:type="character" w:styleId="1318" w:customStyle="1">
    <w:name w:val="正文文本 2 Char"/>
    <w:link w:val="1317"/>
    <w:uiPriority w:val="0"/>
    <w:rPr>
      <w:rFonts w:ascii="楷体_GB2312" w:hAnsi="Times New Roman" w:eastAsia="楷体_GB2312" w:cs="Times New Roman"/>
      <w:sz w:val="28"/>
      <w:szCs w:val="28"/>
    </w:rPr>
  </w:style>
  <w:style w:type="paragraph" w:styleId="1319" w:customStyle="1">
    <w:name w:val="普通(网站)1"/>
    <w:basedOn w:val="1075"/>
    <w:uiPriority w:val="99"/>
    <w:pPr>
      <w:jc w:val="left"/>
      <w:spacing w:before="100" w:beforeAutospacing="1" w:after="100" w:afterAutospacing="1"/>
      <w:widowControl/>
    </w:pPr>
    <w:rPr>
      <w:rFonts w:ascii="宋体" w:hAnsi="宋体" w:eastAsia="宋体" w:cs="宋体"/>
      <w:sz w:val="24"/>
      <w:szCs w:val="24"/>
    </w:rPr>
  </w:style>
  <w:style w:type="paragraph" w:styleId="1320" w:customStyle="1">
    <w:name w:val="索引 11"/>
    <w:basedOn w:val="1075"/>
    <w:next w:val="1075"/>
    <w:uiPriority w:val="0"/>
    <w:semiHidden/>
    <w:pPr>
      <w:spacing w:line="240" w:lineRule="atLeast"/>
    </w:pPr>
    <w:rPr>
      <w:rFonts w:ascii="Times New Roman" w:hAnsi="Times New Roman" w:eastAsia="宋体" w:cs="Times New Roman"/>
      <w:b/>
      <w:bCs/>
      <w:szCs w:val="21"/>
    </w:rPr>
  </w:style>
  <w:style w:type="paragraph" w:styleId="1321" w:customStyle="1">
    <w:name w:val="批注主题1"/>
    <w:basedOn w:val="1282"/>
    <w:next w:val="1282"/>
    <w:link w:val="1322"/>
    <w:uiPriority w:val="0"/>
    <w:semiHidden/>
    <w:rPr>
      <w:rFonts w:ascii="Times New Roman" w:hAnsi="Times New Roman" w:eastAsia="宋体" w:cs="Times New Roman"/>
      <w:b/>
      <w:bCs/>
      <w:szCs w:val="21"/>
    </w:rPr>
  </w:style>
  <w:style w:type="character" w:styleId="1322" w:customStyle="1">
    <w:name w:val="批注主题 Char"/>
    <w:link w:val="1321"/>
    <w:uiPriority w:val="0"/>
    <w:semiHidden/>
    <w:rPr>
      <w:rFonts w:ascii="Times New Roman" w:hAnsi="Times New Roman" w:eastAsia="宋体" w:cs="Times New Roman"/>
      <w:b/>
      <w:bCs/>
      <w:szCs w:val="21"/>
    </w:rPr>
  </w:style>
  <w:style w:type="paragraph" w:styleId="1323" w:customStyle="1">
    <w:name w:val="正文首行缩进1"/>
    <w:basedOn w:val="1075"/>
    <w:link w:val="1324"/>
    <w:uiPriority w:val="0"/>
    <w:pPr>
      <w:ind w:firstLine="200"/>
      <w:spacing w:line="360" w:lineRule="auto"/>
    </w:pPr>
    <w:rPr>
      <w:rFonts w:ascii="仿宋_GB2312" w:hAnsi="Times New Roman" w:eastAsia="仿宋_GB2312" w:cs="Times New Roman"/>
      <w:sz w:val="30"/>
      <w:szCs w:val="30"/>
    </w:rPr>
  </w:style>
  <w:style w:type="character" w:styleId="1324" w:customStyle="1">
    <w:name w:val="正文首行缩进 Char"/>
    <w:link w:val="1323"/>
    <w:uiPriority w:val="0"/>
    <w:rPr>
      <w:rFonts w:ascii="仿宋_GB2312" w:hAnsi="Times New Roman" w:eastAsia="仿宋_GB2312" w:cs="Times New Roman"/>
      <w:sz w:val="30"/>
      <w:szCs w:val="30"/>
    </w:rPr>
  </w:style>
  <w:style w:type="paragraph" w:styleId="1325" w:customStyle="1">
    <w:name w:val="正文首行缩进 21"/>
    <w:basedOn w:val="1288"/>
    <w:next w:val="1075"/>
    <w:link w:val="1326"/>
    <w:uiPriority w:val="0"/>
    <w:pPr>
      <w:ind w:left="0" w:firstLine="420"/>
      <w:spacing w:after="0" w:line="360" w:lineRule="auto"/>
    </w:pPr>
    <w:rPr>
      <w:rFonts w:ascii="宋体" w:hAnsi="宋体" w:eastAsia="宋体" w:cs="Times New Roman"/>
      <w:szCs w:val="20"/>
    </w:rPr>
  </w:style>
  <w:style w:type="character" w:styleId="1326" w:customStyle="1">
    <w:name w:val="正文首行缩进 2 Char"/>
    <w:link w:val="1325"/>
    <w:uiPriority w:val="0"/>
    <w:rPr>
      <w:rFonts w:ascii="宋体" w:hAnsi="宋体" w:eastAsia="宋体" w:cs="Times New Roman"/>
      <w:szCs w:val="20"/>
    </w:rPr>
  </w:style>
  <w:style w:type="table" w:styleId="1327" w:customStyle="1">
    <w:name w:val="网格型11"/>
    <w:basedOn w:val="1267"/>
    <w:uiPriority w:val="0"/>
    <w:pPr>
      <w:jc w:val="both"/>
      <w:widowControl w:val="off"/>
    </w:pPr>
    <w:rPr>
      <w:rFonts w:ascii="Times New Roman" w:hAnsi="Times New Roman" w:eastAsia="宋体" w:cs="Times New Roman"/>
      <w:sz w:val="20"/>
      <w:szCs w:val="20"/>
    </w:rPr>
    <w:tblPr/>
  </w:style>
  <w:style w:type="character" w:styleId="1328" w:customStyle="1">
    <w:name w:val="要点1"/>
    <w:link w:val="1075"/>
    <w:uiPriority w:val="0"/>
    <w:qFormat/>
    <w:rPr>
      <w:b/>
      <w:bCs/>
    </w:rPr>
  </w:style>
  <w:style w:type="character" w:styleId="1329" w:customStyle="1">
    <w:name w:val="页码1"/>
    <w:link w:val="1075"/>
    <w:uiPriority w:val="0"/>
  </w:style>
  <w:style w:type="character" w:styleId="1330" w:customStyle="1">
    <w:name w:val="已访问的超链接1"/>
    <w:link w:val="1075"/>
    <w:uiPriority w:val="0"/>
    <w:rPr>
      <w:color w:val="800080"/>
      <w:u w:val="single"/>
    </w:rPr>
  </w:style>
  <w:style w:type="character" w:styleId="1331" w:customStyle="1">
    <w:name w:val="超链接1"/>
    <w:link w:val="1075"/>
    <w:uiPriority w:val="0"/>
    <w:rPr>
      <w:color w:val="0000ff"/>
      <w:u w:val="single"/>
    </w:rPr>
  </w:style>
  <w:style w:type="character" w:styleId="1332" w:customStyle="1">
    <w:name w:val="批注引用1"/>
    <w:link w:val="1075"/>
    <w:uiPriority w:val="0"/>
    <w:semiHidden/>
    <w:rPr>
      <w:sz w:val="21"/>
      <w:szCs w:val="21"/>
    </w:rPr>
  </w:style>
  <w:style w:type="character" w:styleId="1333" w:customStyle="1">
    <w:name w:val="font71"/>
    <w:link w:val="1075"/>
    <w:uiPriority w:val="0"/>
    <w:rPr>
      <w:rFonts w:hint="eastAsia" w:ascii="宋体" w:hAnsi="宋体" w:eastAsia="宋体" w:cs="宋体"/>
      <w:b/>
      <w:color w:val="000000"/>
      <w:sz w:val="24"/>
      <w:szCs w:val="24"/>
      <w:u w:val="none"/>
    </w:rPr>
  </w:style>
  <w:style w:type="character" w:styleId="1334" w:customStyle="1">
    <w:name w:val="font11"/>
    <w:link w:val="1075"/>
    <w:uiPriority w:val="0"/>
    <w:rPr>
      <w:rFonts w:ascii="Times New Roman" w:hAnsi="Times New Roman" w:cs="Times New Roman"/>
      <w:color w:val="000000"/>
      <w:sz w:val="22"/>
      <w:szCs w:val="22"/>
      <w:u w:val="none"/>
    </w:rPr>
  </w:style>
  <w:style w:type="character" w:styleId="1335" w:customStyle="1">
    <w:name w:val="font81"/>
    <w:link w:val="1075"/>
    <w:uiPriority w:val="0"/>
    <w:rPr>
      <w:rFonts w:hint="eastAsia" w:ascii="宋体" w:hAnsi="宋体" w:eastAsia="宋体" w:cs="宋体"/>
      <w:color w:val="000000"/>
      <w:sz w:val="22"/>
      <w:szCs w:val="22"/>
      <w:u w:val="none"/>
    </w:rPr>
  </w:style>
  <w:style w:type="character" w:styleId="1336" w:customStyle="1">
    <w:name w:val="font31"/>
    <w:link w:val="1075"/>
    <w:uiPriority w:val="0"/>
    <w:rPr>
      <w:rFonts w:hint="eastAsia" w:ascii="宋体" w:hAnsi="宋体" w:eastAsia="宋体" w:cs="宋体"/>
      <w:b/>
      <w:color w:val="000000"/>
      <w:sz w:val="22"/>
      <w:szCs w:val="22"/>
      <w:u w:val="none"/>
    </w:rPr>
  </w:style>
  <w:style w:type="character" w:styleId="1337" w:customStyle="1">
    <w:name w:val="font91"/>
    <w:link w:val="1075"/>
    <w:uiPriority w:val="0"/>
    <w:rPr>
      <w:rFonts w:hint="eastAsia" w:ascii="宋体" w:hAnsi="宋体" w:eastAsia="宋体" w:cs="宋体"/>
      <w:color w:val="000000"/>
      <w:sz w:val="22"/>
      <w:szCs w:val="22"/>
      <w:u w:val="none"/>
    </w:rPr>
  </w:style>
  <w:style w:type="character" w:styleId="1338" w:customStyle="1">
    <w:name w:val="font21"/>
    <w:link w:val="1075"/>
    <w:uiPriority w:val="0"/>
    <w:rPr>
      <w:rFonts w:ascii="Times New Roman" w:hAnsi="Times New Roman" w:cs="Times New Roman"/>
      <w:b/>
      <w:color w:val="000000"/>
      <w:sz w:val="22"/>
      <w:szCs w:val="22"/>
      <w:u w:val="none"/>
    </w:rPr>
  </w:style>
  <w:style w:type="character" w:styleId="1339" w:customStyle="1">
    <w:name w:val="二级目录 Char"/>
    <w:link w:val="1340"/>
    <w:uiPriority w:val="0"/>
    <w:rPr>
      <w:b/>
      <w:sz w:val="30"/>
      <w:szCs w:val="28"/>
    </w:rPr>
  </w:style>
  <w:style w:type="paragraph" w:styleId="1340" w:customStyle="1">
    <w:name w:val="二级目录"/>
    <w:next w:val="1075"/>
    <w:link w:val="1339"/>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341" w:customStyle="1">
    <w:name w:val="font132"/>
    <w:link w:val="1075"/>
    <w:uiPriority w:val="0"/>
    <w:rPr>
      <w:rFonts w:ascii="Times New Roman" w:hAnsi="Times New Roman" w:cs="Times New Roman"/>
      <w:color w:val="000000"/>
      <w:sz w:val="22"/>
      <w:szCs w:val="22"/>
      <w:u w:val="none"/>
    </w:rPr>
  </w:style>
  <w:style w:type="character" w:styleId="1342" w:customStyle="1">
    <w:name w:val="font13"/>
    <w:link w:val="1075"/>
    <w:uiPriority w:val="0"/>
    <w:rPr>
      <w:rFonts w:hint="eastAsia" w:ascii="宋体" w:hAnsi="宋体" w:eastAsia="宋体" w:cs="宋体"/>
      <w:b/>
      <w:color w:val="000000"/>
      <w:sz w:val="24"/>
      <w:szCs w:val="24"/>
      <w:u w:val="none"/>
    </w:rPr>
  </w:style>
  <w:style w:type="character" w:styleId="1343" w:customStyle="1">
    <w:name w:val="font161"/>
    <w:link w:val="1075"/>
    <w:uiPriority w:val="0"/>
    <w:rPr>
      <w:rFonts w:ascii="Times New Roman" w:hAnsi="Times New Roman" w:cs="Times New Roman"/>
      <w:b/>
      <w:color w:val="000000"/>
      <w:sz w:val="22"/>
      <w:szCs w:val="22"/>
      <w:u w:val="none"/>
    </w:rPr>
  </w:style>
  <w:style w:type="character" w:styleId="1344" w:customStyle="1">
    <w:name w:val="font5 Char"/>
    <w:link w:val="1075"/>
    <w:uiPriority w:val="0"/>
    <w:rPr>
      <w:rFonts w:ascii="宋体" w:hAnsi="宋体" w:eastAsia="宋体"/>
      <w:sz w:val="28"/>
      <w:szCs w:val="28"/>
      <w:lang w:val="en-US" w:eastAsia="zh-CN" w:bidi="ar-SA"/>
    </w:rPr>
  </w:style>
  <w:style w:type="character" w:styleId="1345" w:customStyle="1">
    <w:name w:val="font101"/>
    <w:link w:val="1075"/>
    <w:uiPriority w:val="0"/>
    <w:rPr>
      <w:rFonts w:ascii="微软雅黑" w:hAnsi="微软雅黑" w:eastAsia="微软雅黑" w:cs="微软雅黑"/>
      <w:color w:val="000000"/>
      <w:sz w:val="22"/>
      <w:szCs w:val="22"/>
      <w:u w:val="none"/>
    </w:rPr>
  </w:style>
  <w:style w:type="character" w:styleId="1346" w:customStyle="1">
    <w:name w:val="font41"/>
    <w:link w:val="1075"/>
    <w:uiPriority w:val="0"/>
    <w:rPr>
      <w:rFonts w:hint="eastAsia" w:ascii="宋体" w:hAnsi="宋体" w:eastAsia="宋体" w:cs="宋体"/>
      <w:b/>
      <w:color w:val="000000"/>
      <w:sz w:val="24"/>
      <w:szCs w:val="24"/>
      <w:u w:val="none"/>
    </w:rPr>
  </w:style>
  <w:style w:type="character" w:styleId="1347" w:customStyle="1">
    <w:name w:val="font61"/>
    <w:link w:val="1075"/>
    <w:uiPriority w:val="0"/>
    <w:rPr>
      <w:rFonts w:hint="eastAsia" w:ascii="宋体" w:hAnsi="宋体" w:eastAsia="宋体" w:cs="宋体"/>
      <w:color w:val="000000"/>
      <w:sz w:val="22"/>
      <w:szCs w:val="22"/>
      <w:u w:val="none"/>
    </w:rPr>
  </w:style>
  <w:style w:type="character" w:styleId="1348" w:customStyle="1">
    <w:name w:val="font121"/>
    <w:link w:val="1075"/>
    <w:uiPriority w:val="0"/>
    <w:rPr>
      <w:rFonts w:ascii="Times New Roman" w:hAnsi="Times New Roman" w:cs="Times New Roman"/>
      <w:b/>
      <w:color w:val="000000"/>
      <w:sz w:val="24"/>
      <w:szCs w:val="24"/>
      <w:u w:val="none"/>
    </w:rPr>
  </w:style>
  <w:style w:type="character" w:styleId="1349" w:customStyle="1">
    <w:name w:val="font51"/>
    <w:basedOn w:val="1266"/>
    <w:link w:val="1075"/>
    <w:uiPriority w:val="0"/>
    <w:rPr>
      <w:rFonts w:hint="eastAsia" w:ascii="宋体" w:hAnsi="宋体" w:eastAsia="宋体" w:cs="宋体"/>
      <w:b/>
      <w:color w:val="000000"/>
      <w:sz w:val="22"/>
      <w:szCs w:val="22"/>
      <w:u w:val="none"/>
    </w:rPr>
  </w:style>
  <w:style w:type="character" w:styleId="1350" w:customStyle="1">
    <w:name w:val="列出段落 Char"/>
    <w:link w:val="1351"/>
    <w:uiPriority w:val="0"/>
    <w:qFormat/>
    <w:rPr>
      <w:rFonts w:ascii="Calibri" w:hAnsi="Calibri"/>
      <w:sz w:val="24"/>
      <w:szCs w:val="24"/>
      <w:lang w:eastAsia="en-US" w:bidi="en-US"/>
    </w:rPr>
  </w:style>
  <w:style w:type="paragraph" w:styleId="1351" w:customStyle="1">
    <w:name w:val="列出段落1"/>
    <w:basedOn w:val="1075"/>
    <w:link w:val="1350"/>
    <w:uiPriority w:val="0"/>
    <w:qFormat/>
    <w:pPr>
      <w:contextualSpacing/>
      <w:ind w:left="720"/>
      <w:jc w:val="left"/>
      <w:widowControl/>
    </w:pPr>
    <w:rPr>
      <w:rFonts w:ascii="Calibri" w:hAnsi="Calibri"/>
      <w:sz w:val="24"/>
      <w:szCs w:val="24"/>
      <w:lang w:eastAsia="en-US" w:bidi="en-US"/>
    </w:rPr>
  </w:style>
  <w:style w:type="character" w:styleId="1352" w:customStyle="1">
    <w:name w:val="font151"/>
    <w:basedOn w:val="1266"/>
    <w:link w:val="1075"/>
    <w:uiPriority w:val="0"/>
    <w:rPr>
      <w:rFonts w:ascii="Times New Roman" w:hAnsi="Times New Roman" w:cs="Times New Roman"/>
      <w:b/>
      <w:color w:val="000000"/>
      <w:sz w:val="22"/>
      <w:szCs w:val="22"/>
      <w:u w:val="none"/>
    </w:rPr>
  </w:style>
  <w:style w:type="character" w:styleId="1353" w:customStyle="1">
    <w:name w:val="font112"/>
    <w:basedOn w:val="1266"/>
    <w:link w:val="1075"/>
    <w:uiPriority w:val="0"/>
    <w:rPr>
      <w:rFonts w:ascii="Times New Roman" w:hAnsi="Times New Roman" w:cs="Times New Roman"/>
      <w:b/>
      <w:color w:val="000000"/>
      <w:sz w:val="24"/>
      <w:szCs w:val="24"/>
      <w:u w:val="none"/>
    </w:rPr>
  </w:style>
  <w:style w:type="paragraph" w:styleId="1354" w:customStyle="1">
    <w:name w:val="table_1stline"/>
    <w:basedOn w:val="1075"/>
    <w:uiPriority w:val="0"/>
    <w:pPr>
      <w:jc w:val="left"/>
      <w:spacing w:before="120"/>
      <w:widowControl/>
    </w:pPr>
    <w:rPr>
      <w:rFonts w:ascii="Times New Roman" w:hAnsi="Times New Roman" w:eastAsia="宋体" w:cs="Times New Roman"/>
      <w:bCs/>
      <w:sz w:val="20"/>
      <w:szCs w:val="20"/>
      <w:lang w:val="de-DE" w:eastAsia="de-DE"/>
    </w:rPr>
  </w:style>
  <w:style w:type="paragraph" w:styleId="1355" w:customStyle="1">
    <w:name w:val="正文文本1"/>
    <w:basedOn w:val="1075"/>
    <w:next w:val="1075"/>
    <w:uiPriority w:val="0"/>
    <w:semiHidden/>
    <w:qFormat/>
    <w:rPr>
      <w:rFonts w:ascii="Arial" w:hAnsi="Arial" w:eastAsia="Arial" w:cs="Arial"/>
      <w:sz w:val="21"/>
      <w:szCs w:val="21"/>
      <w:lang w:val="en-US" w:eastAsia="en-US" w:bidi="ar-SA"/>
    </w:rPr>
  </w:style>
  <w:style w:type="paragraph" w:styleId="1356" w:customStyle="1">
    <w:name w:val="标题3"/>
    <w:basedOn w:val="1075"/>
    <w:next w:val="1075"/>
    <w:uiPriority w:val="0"/>
    <w:pPr>
      <w:ind w:firstLine="624"/>
      <w:spacing w:line="590" w:lineRule="atLeast"/>
    </w:pPr>
    <w:rPr>
      <w:rFonts w:ascii="方正黑体_GBK" w:hAnsi="Times New Roman" w:eastAsia="方正黑体_GBK" w:cs="Times New Roman"/>
      <w:sz w:val="32"/>
      <w:szCs w:val="32"/>
    </w:rPr>
  </w:style>
  <w:style w:type="paragraph" w:styleId="1357" w:customStyle="1">
    <w:name w:val="样式1"/>
    <w:basedOn w:val="1075"/>
    <w:uiPriority w:val="0"/>
    <w:pPr>
      <w:numPr>
        <w:ilvl w:val="0"/>
        <w:numId w:val="3"/>
      </w:numPr>
    </w:pPr>
    <w:rPr>
      <w:rFonts w:ascii="宋体" w:hAnsi="宋体" w:eastAsia="宋体" w:cs="Times New Roman"/>
      <w:szCs w:val="21"/>
    </w:rPr>
  </w:style>
  <w:style w:type="paragraph" w:styleId="1358" w:customStyle="1">
    <w:name w:val="font5"/>
    <w:basedOn w:val="1075"/>
    <w:uiPriority w:val="0"/>
    <w:pPr>
      <w:jc w:val="left"/>
      <w:spacing w:before="100" w:beforeAutospacing="1" w:after="100" w:afterAutospacing="1"/>
      <w:widowControl/>
    </w:pPr>
    <w:rPr>
      <w:rFonts w:hint="eastAsia" w:ascii="宋体" w:hAnsi="宋体" w:eastAsia="宋体" w:cs="Times New Roman"/>
      <w:sz w:val="28"/>
      <w:szCs w:val="28"/>
    </w:rPr>
  </w:style>
  <w:style w:type="paragraph" w:styleId="1359" w:customStyle="1">
    <w:name w:val="xl24"/>
    <w:basedOn w:val="1075"/>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60" w:customStyle="1">
    <w:name w:val="标题1"/>
    <w:basedOn w:val="1075"/>
    <w:next w:val="1075"/>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61" w:customStyle="1">
    <w:name w:val=" Char Char Char Char"/>
    <w:basedOn w:val="1280"/>
    <w:uiPriority w:val="0"/>
    <w:pPr>
      <w:spacing w:line="360" w:lineRule="auto"/>
    </w:pPr>
    <w:rPr>
      <w:rFonts w:ascii="Tahoma" w:hAnsi="Tahoma"/>
      <w:sz w:val="24"/>
      <w:szCs w:val="24"/>
    </w:rPr>
  </w:style>
  <w:style w:type="paragraph" w:styleId="1362" w:customStyle="1">
    <w:name w:val="图标"/>
    <w:basedOn w:val="1075"/>
    <w:next w:val="1075"/>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63" w:customStyle="1">
    <w:name w:val="正文文本 211"/>
    <w:basedOn w:val="1075"/>
    <w:uiPriority w:val="99"/>
    <w:qFormat/>
    <w:pPr>
      <w:jc w:val="center"/>
    </w:pPr>
    <w:rPr>
      <w:b/>
      <w:bCs/>
      <w:sz w:val="20"/>
      <w:szCs w:val="20"/>
    </w:rPr>
  </w:style>
  <w:style w:type="paragraph" w:styleId="1364" w:customStyle="1">
    <w:name w:val="xl25"/>
    <w:basedOn w:val="1075"/>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65" w:customStyle="1">
    <w:name w:val="xl30"/>
    <w:basedOn w:val="1075"/>
    <w:uiPriority w:val="0"/>
    <w:pPr>
      <w:jc w:val="center"/>
      <w:spacing w:before="100" w:beforeAutospacing="1" w:after="100" w:afterAutospacing="1"/>
      <w:widowControl/>
    </w:pPr>
    <w:rPr>
      <w:rFonts w:ascii="宋体" w:hAnsi="宋体" w:eastAsia="宋体" w:cs="Times New Roman"/>
      <w:b/>
      <w:bCs/>
      <w:sz w:val="36"/>
      <w:szCs w:val="36"/>
    </w:rPr>
  </w:style>
  <w:style w:type="paragraph" w:styleId="1366" w:customStyle="1">
    <w:name w:val="table_lines"/>
    <w:basedOn w:val="1075"/>
    <w:uiPriority w:val="0"/>
    <w:qFormat/>
    <w:pPr>
      <w:jc w:val="left"/>
      <w:widowControl/>
    </w:pPr>
    <w:rPr>
      <w:rFonts w:ascii="Times New Roman" w:hAnsi="Times New Roman" w:eastAsia="宋体" w:cs="Times New Roman"/>
      <w:sz w:val="20"/>
      <w:szCs w:val="20"/>
      <w:lang w:val="de-DE" w:eastAsia="de-DE"/>
    </w:rPr>
  </w:style>
  <w:style w:type="paragraph" w:styleId="1367" w:customStyle="1">
    <w:name w:val="Char"/>
    <w:basedOn w:val="1075"/>
    <w:uiPriority w:val="0"/>
    <w:pPr>
      <w:ind w:firstLine="200"/>
      <w:tabs>
        <w:tab w:val="left" w:pos="360" w:leader="none"/>
      </w:tabs>
    </w:pPr>
    <w:rPr>
      <w:rFonts w:ascii="Times New Roman" w:hAnsi="Times New Roman" w:eastAsia="宋体" w:cs="Times New Roman"/>
      <w:sz w:val="28"/>
      <w:szCs w:val="30"/>
    </w:rPr>
  </w:style>
  <w:style w:type="paragraph" w:styleId="1368" w:customStyle="1">
    <w:name w:val="正文文本12"/>
    <w:basedOn w:val="1075"/>
    <w:uiPriority w:val="1"/>
    <w:qFormat/>
    <w:pPr>
      <w:ind w:left="120"/>
    </w:pPr>
    <w:rPr>
      <w:rFonts w:ascii="宋体" w:hAnsi="宋体" w:eastAsia="宋体" w:cs="宋体"/>
      <w:sz w:val="21"/>
      <w:szCs w:val="21"/>
      <w:lang w:val="zh-CN" w:eastAsia="zh-CN" w:bidi="zh-CN"/>
    </w:rPr>
  </w:style>
  <w:style w:type="paragraph" w:styleId="136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70" w:customStyle="1">
    <w:name w:val="xl27"/>
    <w:basedOn w:val="1075"/>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71" w:customStyle="1">
    <w:name w:val="正文文本首行缩进 2"/>
    <w:basedOn w:val="1372"/>
    <w:uiPriority w:val="0"/>
    <w:qFormat/>
    <w:pPr>
      <w:ind w:left="0" w:firstLine="420"/>
      <w:spacing w:after="0" w:line="360" w:lineRule="auto"/>
    </w:pPr>
    <w:rPr>
      <w:rFonts w:ascii="宋体" w:hAnsi="宋体"/>
      <w:sz w:val="20"/>
      <w:szCs w:val="20"/>
      <w:lang w:val="en-US" w:eastAsia="en-US"/>
    </w:rPr>
  </w:style>
  <w:style w:type="paragraph" w:styleId="1372" w:customStyle="1">
    <w:name w:val="正文文本缩进1"/>
    <w:basedOn w:val="1075"/>
    <w:next w:val="1371"/>
    <w:uiPriority w:val="0"/>
    <w:unhideWhenUsed/>
    <w:qFormat/>
    <w:pPr>
      <w:ind w:left="420"/>
      <w:spacing w:after="120"/>
    </w:pPr>
  </w:style>
  <w:style w:type="paragraph" w:styleId="1373" w:customStyle="1">
    <w:name w:val="4"/>
    <w:basedOn w:val="1075"/>
    <w:next w:val="1312"/>
    <w:uiPriority w:val="0"/>
    <w:pPr>
      <w:ind w:firstLine="420"/>
      <w:spacing w:line="360" w:lineRule="auto"/>
    </w:pPr>
    <w:rPr>
      <w:rFonts w:ascii="Times New Roman" w:hAnsi="Times New Roman" w:eastAsia="宋体" w:cs="Times New Roman"/>
      <w:color w:val="ff0000"/>
      <w:sz w:val="24"/>
      <w:szCs w:val="24"/>
    </w:rPr>
  </w:style>
  <w:style w:type="paragraph" w:styleId="1374" w:customStyle="1">
    <w:name w:val="索引 41"/>
    <w:basedOn w:val="1075"/>
    <w:next w:val="1075"/>
    <w:uiPriority w:val="0"/>
    <w:semiHidden/>
    <w:qFormat/>
    <w:pPr>
      <w:ind w:left="1260"/>
    </w:pPr>
    <w:rPr>
      <w:rFonts w:ascii="Calibri" w:hAnsi="Calibri" w:eastAsia="Calibri" w:cs="宋体"/>
      <w:sz w:val="20"/>
      <w:lang w:val="zh-CN"/>
    </w:rPr>
  </w:style>
  <w:style w:type="paragraph" w:styleId="1375" w:customStyle="1">
    <w:name w:val=" Char"/>
    <w:basedOn w:val="1280"/>
    <w:uiPriority w:val="0"/>
    <w:rPr>
      <w:rFonts w:ascii="Tahoma" w:hAnsi="Tahoma"/>
      <w:sz w:val="24"/>
      <w:szCs w:val="24"/>
    </w:rPr>
  </w:style>
  <w:style w:type="paragraph" w:styleId="1376" w:customStyle="1">
    <w:name w:val="font7"/>
    <w:basedOn w:val="1075"/>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377" w:customStyle="1">
    <w:name w:val="xl28"/>
    <w:basedOn w:val="1075"/>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78" w:customStyle="1">
    <w:name w:val="普通正文"/>
    <w:basedOn w:val="1075"/>
    <w:uiPriority w:val="0"/>
    <w:pPr>
      <w:ind w:firstLine="480"/>
      <w:jc w:val="left"/>
      <w:spacing w:before="120" w:after="120" w:line="360" w:lineRule="auto"/>
    </w:pPr>
    <w:rPr>
      <w:rFonts w:ascii="Arial" w:hAnsi="Arial" w:eastAsia="宋体" w:cs="Times New Roman"/>
      <w:sz w:val="24"/>
      <w:szCs w:val="24"/>
    </w:rPr>
  </w:style>
  <w:style w:type="paragraph" w:styleId="1379" w:customStyle="1">
    <w:name w:val="Body Text(ch)"/>
    <w:basedOn w:val="1075"/>
    <w:next w:val="1286"/>
    <w:uiPriority w:val="0"/>
    <w:pPr>
      <w:spacing w:after="120"/>
    </w:pPr>
    <w:rPr>
      <w:rFonts w:ascii="宋体" w:hAnsi="Arial" w:eastAsia="宋体" w:cs="Times New Roman"/>
      <w:bCs/>
      <w:iCs/>
      <w:szCs w:val="24"/>
    </w:rPr>
  </w:style>
  <w:style w:type="paragraph" w:styleId="1380" w:customStyle="1">
    <w:name w:val="Char Char Char Char"/>
    <w:basedOn w:val="1280"/>
    <w:uiPriority w:val="0"/>
    <w:pPr>
      <w:spacing w:line="360" w:lineRule="auto"/>
    </w:pPr>
    <w:rPr>
      <w:rFonts w:ascii="Tahoma" w:hAnsi="Tahoma"/>
      <w:sz w:val="24"/>
      <w:szCs w:val="24"/>
    </w:rPr>
  </w:style>
  <w:style w:type="paragraph" w:styleId="1381" w:customStyle="1">
    <w:name w:val="xl26"/>
    <w:basedOn w:val="107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82" w:customStyle="1">
    <w:name w:val=" Char Char Char Char Char Char Char Char Char Char"/>
    <w:basedOn w:val="1075"/>
    <w:uiPriority w:val="0"/>
    <w:pPr>
      <w:spacing w:line="360" w:lineRule="auto"/>
    </w:pPr>
    <w:rPr>
      <w:rFonts w:ascii="Times New Roman" w:hAnsi="Times New Roman" w:eastAsia="宋体" w:cs="Times New Roman"/>
      <w:sz w:val="24"/>
      <w:szCs w:val="20"/>
    </w:rPr>
  </w:style>
  <w:style w:type="paragraph" w:styleId="1383" w:customStyle="1">
    <w:name w:val="xl29"/>
    <w:basedOn w:val="1075"/>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84"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385" w:customStyle="1">
    <w:name w:val=" Char Char Char Char Char Char Char Char"/>
    <w:basedOn w:val="1075"/>
    <w:uiPriority w:val="0"/>
    <w:pPr>
      <w:jc w:val="left"/>
      <w:spacing w:after="160" w:line="240" w:lineRule="exact"/>
      <w:widowControl/>
    </w:pPr>
    <w:rPr>
      <w:rFonts w:ascii="Verdana" w:hAnsi="Verdana" w:eastAsia="宋体" w:cs="Times New Roman"/>
      <w:sz w:val="20"/>
      <w:szCs w:val="20"/>
      <w:lang w:eastAsia="en-US"/>
    </w:rPr>
  </w:style>
  <w:style w:type="paragraph" w:styleId="1386" w:customStyle="1">
    <w:name w:val="普通 (Web)"/>
    <w:basedOn w:val="1075"/>
    <w:uiPriority w:val="0"/>
    <w:pPr>
      <w:jc w:val="left"/>
      <w:spacing w:before="100" w:beforeAutospacing="1" w:after="100" w:afterAutospacing="1"/>
      <w:widowControl/>
    </w:pPr>
    <w:rPr>
      <w:rFonts w:ascii="宋体" w:hAnsi="宋体" w:eastAsia="宋体" w:cs="Times New Roman"/>
      <w:sz w:val="24"/>
      <w:szCs w:val="24"/>
    </w:rPr>
  </w:style>
  <w:style w:type="paragraph" w:styleId="1387" w:customStyle="1">
    <w:name w:val="Char Char Char Char Char Char Char Char"/>
    <w:basedOn w:val="1075"/>
    <w:uiPriority w:val="0"/>
    <w:pPr>
      <w:jc w:val="left"/>
      <w:spacing w:after="160" w:line="240" w:lineRule="exact"/>
      <w:widowControl/>
    </w:pPr>
    <w:rPr>
      <w:rFonts w:ascii="Verdana" w:hAnsi="Verdana" w:eastAsia="宋体" w:cs="Times New Roman"/>
      <w:sz w:val="20"/>
      <w:szCs w:val="20"/>
      <w:lang w:eastAsia="en-US"/>
    </w:rPr>
  </w:style>
  <w:style w:type="paragraph" w:styleId="1388" w:customStyle="1">
    <w:name w:val="font6"/>
    <w:basedOn w:val="1075"/>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389" w:customStyle="1">
    <w:name w:val="修订"/>
    <w:uiPriority w:val="99"/>
    <w:semiHidden/>
    <w:rPr>
      <w:rFonts w:hint="default" w:ascii="Times New Roman" w:hAnsi="Times New Roman" w:eastAsia="宋体" w:cs="Times New Roman"/>
      <w:sz w:val="21"/>
      <w:szCs w:val="21"/>
      <w:lang w:val="en-US" w:eastAsia="zh-CN" w:bidi="ar-SA"/>
    </w:rPr>
  </w:style>
  <w:style w:type="paragraph" w:styleId="1390" w:customStyle="1">
    <w:name w:val="列出段落"/>
    <w:basedOn w:val="1075"/>
    <w:uiPriority w:val="0"/>
    <w:qFormat/>
    <w:pPr>
      <w:contextualSpacing/>
      <w:ind w:left="720"/>
      <w:jc w:val="left"/>
      <w:widowControl/>
    </w:pPr>
    <w:rPr>
      <w:rFonts w:ascii="Calibri" w:hAnsi="Calibri" w:eastAsia="宋体" w:cs="Times New Roman"/>
      <w:sz w:val="24"/>
      <w:szCs w:val="24"/>
      <w:lang w:eastAsia="en-US" w:bidi="en-US"/>
    </w:rPr>
  </w:style>
  <w:style w:type="paragraph" w:styleId="1391" w:customStyle="1">
    <w:name w:val="纯文本1"/>
    <w:basedOn w:val="1075"/>
    <w:uiPriority w:val="0"/>
    <w:qFormat/>
    <w:rPr>
      <w:rFonts w:ascii="宋体" w:hAnsi="Courier New" w:cs="Courier New"/>
    </w:rPr>
  </w:style>
  <w:style w:type="table" w:styleId="1392" w:customStyle="1">
    <w:name w:val="Table Normal"/>
    <w:uiPriority w:val="0"/>
    <w:qFormat/>
    <w:rPr>
      <w:lang w:val="en-US" w:eastAsia="zh-CN" w:bidi="ar-SA"/>
    </w:rPr>
    <w:tblPr/>
  </w:style>
  <w:style w:type="table" w:styleId="1393" w:customStyle="1">
    <w:name w:val="普通表格1"/>
    <w:uiPriority w:val="99"/>
    <w:unhideWhenUsed/>
    <w:qFormat/>
    <w:rPr>
      <w:lang w:val="en-US" w:eastAsia="zh-CN" w:bidi="ar-SA"/>
    </w:rPr>
    <w:tblPr/>
  </w:style>
  <w:style w:type="table" w:styleId="1394" w:customStyle="1">
    <w:name w:val="网格型1"/>
    <w:basedOn w:val="1393"/>
    <w:uiPriority w:val="0"/>
    <w:qFormat/>
    <w:pPr>
      <w:jc w:val="both"/>
      <w:widowControl w:val="off"/>
    </w:pPr>
    <w:tblPr/>
  </w:style>
  <w:style w:type="numbering" w:styleId="13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南京龙成</cp:lastModifiedBy>
  <cp:revision>8</cp:revision>
  <dcterms:created xsi:type="dcterms:W3CDTF">2023-03-27T07:28:00Z</dcterms:created>
  <dcterms:modified xsi:type="dcterms:W3CDTF">2025-12-17T01:46:27Z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